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74B9" w:rsidRDefault="00B477E5">
      <w:pPr>
        <w:ind w:left="90" w:right="135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1914525" cy="75247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1133475" cy="11144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</w:t>
      </w:r>
    </w:p>
    <w:p w14:paraId="00000002" w14:textId="77777777" w:rsidR="00CC74B9" w:rsidRDefault="00CC74B9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CC74B9" w:rsidRDefault="00B477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CALL FOR PAPERS</w:t>
      </w:r>
    </w:p>
    <w:p w14:paraId="00000004" w14:textId="77777777" w:rsidR="00CC74B9" w:rsidRDefault="00B477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05" w14:textId="77777777" w:rsidR="00CC74B9" w:rsidRDefault="00B477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The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American Association of Teachers of Spanish and Portuguese - Ontario Chapter </w:t>
      </w:r>
    </w:p>
    <w:p w14:paraId="00000006" w14:textId="04D02ECD" w:rsidR="00CC74B9" w:rsidRDefault="00B477E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ANNUAL CONFERENCE:</w:t>
      </w:r>
    </w:p>
    <w:p w14:paraId="00000007" w14:textId="77777777" w:rsidR="00CC74B9" w:rsidRDefault="00B477E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Teaching </w:t>
      </w:r>
      <w:r>
        <w:rPr>
          <w:rFonts w:ascii="Times New Roman" w:eastAsia="Times New Roman" w:hAnsi="Times New Roman" w:cs="Times New Roman"/>
          <w:b/>
        </w:rPr>
        <w:t>Languages and Literatures in Canada: Diversity and Challenges</w:t>
      </w:r>
    </w:p>
    <w:p w14:paraId="00000008" w14:textId="77777777" w:rsidR="00CC74B9" w:rsidRDefault="00B477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Online: Friday, October 22, 2021 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</w:rPr>
        <w:t xml:space="preserve"> Hosted by the University of Ottawa</w:t>
      </w:r>
    </w:p>
    <w:p w14:paraId="00000009" w14:textId="77777777" w:rsidR="00CC74B9" w:rsidRDefault="00B477E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A" w14:textId="77777777" w:rsidR="00CC74B9" w:rsidRDefault="00B477E5" w:rsidP="00AE3C0A">
      <w:pPr>
        <w:ind w:right="-2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Ontario Chapter of the AATSP (AATSP-ON) is pleased to invite you to participate in its annual conference, after the ca</w:t>
      </w:r>
      <w:r>
        <w:rPr>
          <w:rFonts w:ascii="Times New Roman" w:eastAsia="Times New Roman" w:hAnsi="Times New Roman" w:cs="Times New Roman"/>
          <w:color w:val="000000"/>
        </w:rPr>
        <w:t xml:space="preserve">ncellation of the 2020 conference due to the COVID-19 pandemic.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hyperlink r:id="rId8">
        <w:r>
          <w:rPr>
            <w:rFonts w:ascii="Times New Roman" w:eastAsia="Times New Roman" w:hAnsi="Times New Roman" w:cs="Times New Roman"/>
            <w:color w:val="000000"/>
            <w:u w:val="single"/>
          </w:rPr>
          <w:t xml:space="preserve">Department of </w:t>
        </w:r>
      </w:hyperlink>
      <w:r>
        <w:rPr>
          <w:rFonts w:ascii="Times New Roman" w:eastAsia="Times New Roman" w:hAnsi="Times New Roman" w:cs="Times New Roman"/>
          <w:u w:val="single"/>
        </w:rPr>
        <w:t>Modern Languages and Literatures</w:t>
      </w:r>
      <w:r>
        <w:rPr>
          <w:rFonts w:ascii="Times New Roman" w:eastAsia="Times New Roman" w:hAnsi="Times New Roman" w:cs="Times New Roman"/>
          <w:color w:val="000000"/>
        </w:rPr>
        <w:t xml:space="preserve"> of the University of </w:t>
      </w:r>
      <w:r>
        <w:rPr>
          <w:rFonts w:ascii="Times New Roman" w:eastAsia="Times New Roman" w:hAnsi="Times New Roman" w:cs="Times New Roman"/>
        </w:rPr>
        <w:t>Ottawa will host this year’s event online</w:t>
      </w:r>
      <w:r>
        <w:rPr>
          <w:rFonts w:ascii="Times New Roman" w:eastAsia="Times New Roman" w:hAnsi="Times New Roman" w:cs="Times New Roman"/>
          <w:color w:val="000000"/>
        </w:rPr>
        <w:t xml:space="preserve">, on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Friday, </w:t>
      </w:r>
      <w:r>
        <w:rPr>
          <w:rFonts w:ascii="Times New Roman" w:eastAsia="Times New Roman" w:hAnsi="Times New Roman" w:cs="Times New Roman"/>
          <w:b/>
        </w:rPr>
        <w:t>October 22, 2021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The program will be structured primarily, but not exclusively, around discussions that expan</w:t>
      </w:r>
      <w:r>
        <w:rPr>
          <w:rFonts w:ascii="Times New Roman" w:eastAsia="Times New Roman" w:hAnsi="Times New Roman" w:cs="Times New Roman"/>
        </w:rPr>
        <w:t>d on the challenges in teaching languages and literatures in Canada, acknowledging the diver</w:t>
      </w:r>
      <w:r>
        <w:rPr>
          <w:rFonts w:ascii="Times New Roman" w:eastAsia="Times New Roman" w:hAnsi="Times New Roman" w:cs="Times New Roman"/>
        </w:rPr>
        <w:t>sity of languages spoken in our country. This orientation is inspired by public conversations which have increasingly focused on the need for more inclusive pedagogies and recognition of a diverse student body. These trends lead us to reconsider how we org</w:t>
      </w:r>
      <w:r>
        <w:rPr>
          <w:rFonts w:ascii="Times New Roman" w:eastAsia="Times New Roman" w:hAnsi="Times New Roman" w:cs="Times New Roman"/>
        </w:rPr>
        <w:t>anize our classrooms an</w:t>
      </w:r>
      <w:r>
        <w:rPr>
          <w:rFonts w:ascii="Times New Roman" w:eastAsia="Times New Roman" w:hAnsi="Times New Roman" w:cs="Times New Roman"/>
          <w:color w:val="000000"/>
        </w:rPr>
        <w:t xml:space="preserve">d rethink </w:t>
      </w:r>
      <w:r>
        <w:rPr>
          <w:rFonts w:ascii="Times New Roman" w:eastAsia="Times New Roman" w:hAnsi="Times New Roman" w:cs="Times New Roman"/>
        </w:rPr>
        <w:t xml:space="preserve">how we approach </w:t>
      </w:r>
      <w:r>
        <w:rPr>
          <w:rFonts w:ascii="Times New Roman" w:eastAsia="Times New Roman" w:hAnsi="Times New Roman" w:cs="Times New Roman"/>
          <w:color w:val="000000"/>
        </w:rPr>
        <w:t>language teaching and acquisition</w:t>
      </w:r>
      <w:r>
        <w:rPr>
          <w:rFonts w:ascii="Times New Roman" w:eastAsia="Times New Roman" w:hAnsi="Times New Roman" w:cs="Times New Roman"/>
        </w:rPr>
        <w:t>.</w:t>
      </w:r>
    </w:p>
    <w:p w14:paraId="0000000B" w14:textId="77777777" w:rsidR="00CC74B9" w:rsidRDefault="00CC74B9" w:rsidP="00AE3C0A">
      <w:pPr>
        <w:ind w:right="-279"/>
        <w:rPr>
          <w:rFonts w:ascii="Times New Roman" w:eastAsia="Times New Roman" w:hAnsi="Times New Roman" w:cs="Times New Roman"/>
          <w:sz w:val="22"/>
          <w:szCs w:val="22"/>
        </w:rPr>
      </w:pPr>
    </w:p>
    <w:p w14:paraId="0000000C" w14:textId="77777777" w:rsidR="00CC74B9" w:rsidRDefault="00B477E5" w:rsidP="00AE3C0A">
      <w:pPr>
        <w:ind w:right="-2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keeping with the AATSP 1</w:t>
      </w:r>
      <w:r>
        <w:rPr>
          <w:rFonts w:ascii="Times New Roman" w:eastAsia="Times New Roman" w:hAnsi="Times New Roman" w:cs="Times New Roman"/>
        </w:rPr>
        <w:t xml:space="preserve">03rd </w:t>
      </w:r>
      <w:r>
        <w:rPr>
          <w:rFonts w:ascii="Times New Roman" w:eastAsia="Times New Roman" w:hAnsi="Times New Roman" w:cs="Times New Roman"/>
          <w:color w:val="000000"/>
        </w:rPr>
        <w:t xml:space="preserve">annual conference theme, the topics of our chapter’s conference include (but are not limited to) </w:t>
      </w:r>
      <w:r>
        <w:rPr>
          <w:rFonts w:ascii="Times New Roman" w:eastAsia="Times New Roman" w:hAnsi="Times New Roman" w:cs="Times New Roman"/>
        </w:rPr>
        <w:t>inclusive</w:t>
      </w:r>
      <w:r>
        <w:rPr>
          <w:rFonts w:ascii="Times New Roman" w:eastAsia="Times New Roman" w:hAnsi="Times New Roman" w:cs="Times New Roman"/>
          <w:color w:val="000000"/>
        </w:rPr>
        <w:t xml:space="preserve"> curriculums, assessments and cre</w:t>
      </w:r>
      <w:r>
        <w:rPr>
          <w:rFonts w:ascii="Times New Roman" w:eastAsia="Times New Roman" w:hAnsi="Times New Roman" w:cs="Times New Roman"/>
          <w:color w:val="000000"/>
        </w:rPr>
        <w:t>dentials, languages and the professions, languages and communities, heritage language instruction and learning, as well as promoting the study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color w:val="000000"/>
        </w:rPr>
        <w:t xml:space="preserve"> Spanish and Portuguese. In addition to dedicating sessions to these topics, thematic sessions on Research and </w:t>
      </w:r>
      <w:r>
        <w:rPr>
          <w:rFonts w:ascii="Times New Roman" w:eastAsia="Times New Roman" w:hAnsi="Times New Roman" w:cs="Times New Roman"/>
          <w:color w:val="000000"/>
        </w:rPr>
        <w:t xml:space="preserve">Criticism </w:t>
      </w:r>
      <w:r>
        <w:rPr>
          <w:rFonts w:ascii="Times New Roman" w:eastAsia="Times New Roman" w:hAnsi="Times New Roman" w:cs="Times New Roman"/>
        </w:rPr>
        <w:t>as well as</w:t>
      </w:r>
      <w:r>
        <w:rPr>
          <w:rFonts w:ascii="Times New Roman" w:eastAsia="Times New Roman" w:hAnsi="Times New Roman" w:cs="Times New Roman"/>
          <w:color w:val="000000"/>
        </w:rPr>
        <w:t xml:space="preserve"> Linguistics and Didactics of ELE and PLE will also feature on the program. </w:t>
      </w:r>
    </w:p>
    <w:p w14:paraId="0000000D" w14:textId="77777777" w:rsidR="00CC74B9" w:rsidRDefault="00CC74B9" w:rsidP="00AE3C0A">
      <w:pPr>
        <w:ind w:right="-27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E" w14:textId="77777777" w:rsidR="00CC74B9" w:rsidRDefault="00B477E5" w:rsidP="00AE3C0A">
      <w:pPr>
        <w:ind w:right="-2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Professors, researchers, teachers, graduate students and the general public are welcome to present papers in English, French, Portuguese, or Spanish. Presenta</w:t>
      </w:r>
      <w:r>
        <w:rPr>
          <w:rFonts w:ascii="Times New Roman" w:eastAsia="Times New Roman" w:hAnsi="Times New Roman" w:cs="Times New Roman"/>
          <w:color w:val="000000"/>
        </w:rPr>
        <w:t>tions (20 minutes; 7/8 pages, Times 12, double-spaced)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 focus on the topics outlined below in the context of teaching languages in Canada.</w:t>
      </w:r>
    </w:p>
    <w:p w14:paraId="0000000F" w14:textId="77777777" w:rsidR="00CC74B9" w:rsidRDefault="00CC74B9">
      <w:pPr>
        <w:ind w:right="135"/>
        <w:rPr>
          <w:rFonts w:ascii="Times New Roman" w:eastAsia="Times New Roman" w:hAnsi="Times New Roman" w:cs="Times New Roman"/>
          <w:sz w:val="22"/>
          <w:szCs w:val="22"/>
        </w:rPr>
      </w:pPr>
    </w:p>
    <w:p w14:paraId="00000010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Stream 1 – </w:t>
      </w:r>
      <w:r>
        <w:rPr>
          <w:rFonts w:ascii="Times New Roman" w:eastAsia="Times New Roman" w:hAnsi="Times New Roman" w:cs="Times New Roman"/>
          <w:b/>
        </w:rPr>
        <w:t>Innovation in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Teaching</w:t>
      </w:r>
    </w:p>
    <w:p w14:paraId="00000011" w14:textId="77777777" w:rsidR="00CC74B9" w:rsidRDefault="00B47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Diversity and inclusion in</w:t>
      </w:r>
      <w:r>
        <w:rPr>
          <w:rFonts w:ascii="Times New Roman" w:eastAsia="Times New Roman" w:hAnsi="Times New Roman" w:cs="Times New Roman"/>
          <w:color w:val="000000"/>
        </w:rPr>
        <w:t xml:space="preserve"> teaching</w:t>
      </w:r>
    </w:p>
    <w:p w14:paraId="00000012" w14:textId="77777777" w:rsidR="00CC74B9" w:rsidRDefault="00B47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Teaching approaches during and beyond the pandemic</w:t>
      </w:r>
    </w:p>
    <w:p w14:paraId="00000013" w14:textId="77777777" w:rsidR="00CC74B9" w:rsidRDefault="00B47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evaluation and certification models</w:t>
      </w:r>
    </w:p>
    <w:p w14:paraId="00000014" w14:textId="77777777" w:rsidR="00CC74B9" w:rsidRDefault="00B47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Social, mass, and digital media in the LE classroom</w:t>
      </w:r>
    </w:p>
    <w:p w14:paraId="5F085AE0" w14:textId="53B69C99" w:rsidR="00FA3BF2" w:rsidRPr="00AE3C0A" w:rsidRDefault="00B477E5" w:rsidP="00AE3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7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Emerging teaching practices</w:t>
      </w:r>
    </w:p>
    <w:p w14:paraId="00000017" w14:textId="4C1F1228" w:rsidR="00CC74B9" w:rsidRDefault="00B477E5">
      <w:pPr>
        <w:ind w:right="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Stream 2 – Research and Criticism</w:t>
      </w:r>
    </w:p>
    <w:p w14:paraId="00000018" w14:textId="77777777" w:rsidR="00CC74B9" w:rsidRDefault="00B47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Indigenous Literatures in the Americas</w:t>
      </w:r>
    </w:p>
    <w:p w14:paraId="00000019" w14:textId="77777777" w:rsidR="00CC74B9" w:rsidRDefault="00B47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Literature: Colonial to the present </w:t>
      </w:r>
    </w:p>
    <w:p w14:paraId="0000001A" w14:textId="77777777" w:rsidR="00CC74B9" w:rsidRDefault="00B47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Literature in translation, film and other communications media</w:t>
      </w:r>
    </w:p>
    <w:p w14:paraId="0000001B" w14:textId="77777777" w:rsidR="00CC74B9" w:rsidRDefault="00B47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Architecture, visual arts, dance, music, photography, and popular culture</w:t>
      </w:r>
    </w:p>
    <w:p w14:paraId="0000001C" w14:textId="77777777" w:rsidR="00CC74B9" w:rsidRDefault="00B47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Civil society, race, gender, migration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diaspora</w:t>
      </w:r>
    </w:p>
    <w:p w14:paraId="50698F66" w14:textId="77777777" w:rsidR="00FA3BF2" w:rsidRDefault="00FA3BF2">
      <w:pPr>
        <w:ind w:right="135"/>
        <w:rPr>
          <w:rFonts w:ascii="Times New Roman" w:eastAsia="Times New Roman" w:hAnsi="Times New Roman" w:cs="Times New Roman"/>
        </w:rPr>
      </w:pPr>
    </w:p>
    <w:p w14:paraId="0000001F" w14:textId="5E93351D" w:rsidR="00CC74B9" w:rsidRDefault="00B477E5">
      <w:pPr>
        <w:ind w:right="135"/>
        <w:rPr>
          <w:rFonts w:ascii="Times New Roman" w:eastAsia="Times New Roman" w:hAnsi="Times New Roman" w:cs="Times New Roman"/>
        </w:rPr>
        <w:sectPr w:rsidR="00CC74B9" w:rsidSect="00AE3C0A">
          <w:pgSz w:w="12240" w:h="15840"/>
          <w:pgMar w:top="851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Stream 3 – Linguistics and Teaching ELE/PLE</w:t>
      </w:r>
    </w:p>
    <w:p w14:paraId="00000020" w14:textId="77777777" w:rsidR="00CC74B9" w:rsidRDefault="00B477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Linguistics and language policy</w:t>
      </w:r>
    </w:p>
    <w:p w14:paraId="00000021" w14:textId="2327A2CA" w:rsidR="00CC74B9" w:rsidRDefault="00B477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Bilingualism, multilingualism, and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 w:rsidR="00FA3BF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heritage languages                                                       </w:t>
      </w:r>
    </w:p>
    <w:p w14:paraId="00000022" w14:textId="77777777" w:rsidR="00CC74B9" w:rsidRDefault="00B477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Teaching LE to children and adults</w:t>
      </w:r>
    </w:p>
    <w:p w14:paraId="00000023" w14:textId="77777777" w:rsidR="00CC74B9" w:rsidRDefault="00B477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LE c</w:t>
      </w:r>
      <w:r>
        <w:rPr>
          <w:rFonts w:ascii="Times New Roman" w:eastAsia="Times New Roman" w:hAnsi="Times New Roman" w:cs="Times New Roman"/>
          <w:color w:val="000000"/>
        </w:rPr>
        <w:t xml:space="preserve">urriculum design and planning </w:t>
      </w:r>
    </w:p>
    <w:p w14:paraId="00000024" w14:textId="77777777" w:rsidR="00CC74B9" w:rsidRDefault="00B477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Pedagogy and methodology</w:t>
      </w:r>
      <w:r>
        <w:rPr>
          <w:rFonts w:ascii="Times New Roman" w:eastAsia="Times New Roman" w:hAnsi="Times New Roman" w:cs="Times New Roman"/>
        </w:rPr>
        <w:t xml:space="preserve"> in LE</w:t>
      </w:r>
    </w:p>
    <w:p w14:paraId="00000025" w14:textId="77777777" w:rsidR="00CC74B9" w:rsidRDefault="00B477E5">
      <w:pPr>
        <w:numPr>
          <w:ilvl w:val="0"/>
          <w:numId w:val="3"/>
        </w:numPr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acquisition and learning</w:t>
      </w:r>
    </w:p>
    <w:p w14:paraId="00000026" w14:textId="77777777" w:rsidR="00CC74B9" w:rsidRDefault="00B477E5">
      <w:pPr>
        <w:numPr>
          <w:ilvl w:val="0"/>
          <w:numId w:val="3"/>
        </w:numPr>
        <w:ind w:right="135"/>
        <w:rPr>
          <w:rFonts w:ascii="Times New Roman" w:eastAsia="Times New Roman" w:hAnsi="Times New Roman" w:cs="Times New Roman"/>
        </w:rPr>
        <w:sectPr w:rsidR="00CC74B9" w:rsidSect="00FA3BF2">
          <w:type w:val="continuous"/>
          <w:pgSz w:w="12240" w:h="15840"/>
          <w:pgMar w:top="851" w:right="851" w:bottom="851" w:left="1276" w:header="720" w:footer="720" w:gutter="0"/>
          <w:cols w:num="2" w:space="720" w:equalWidth="0">
            <w:col w:w="4909" w:space="720"/>
            <w:col w:w="4909" w:space="0"/>
          </w:cols>
        </w:sectPr>
      </w:pPr>
      <w:r>
        <w:rPr>
          <w:rFonts w:ascii="Times New Roman" w:eastAsia="Times New Roman" w:hAnsi="Times New Roman" w:cs="Times New Roman"/>
        </w:rPr>
        <w:t xml:space="preserve">Teaching literature and culture in the        language classroom    </w:t>
      </w:r>
    </w:p>
    <w:p w14:paraId="00000027" w14:textId="77777777" w:rsidR="00CC74B9" w:rsidRDefault="00CC74B9">
      <w:pPr>
        <w:ind w:left="360"/>
        <w:rPr>
          <w:rFonts w:ascii="Times New Roman" w:eastAsia="Times New Roman" w:hAnsi="Times New Roman" w:cs="Times New Roman"/>
        </w:rPr>
      </w:pPr>
    </w:p>
    <w:p w14:paraId="00000028" w14:textId="77777777" w:rsidR="00CC74B9" w:rsidRDefault="00CC74B9">
      <w:pPr>
        <w:ind w:right="135"/>
        <w:rPr>
          <w:rFonts w:ascii="Times New Roman" w:eastAsia="Times New Roman" w:hAnsi="Times New Roman" w:cs="Times New Roman"/>
          <w:sz w:val="22"/>
          <w:szCs w:val="22"/>
        </w:rPr>
      </w:pPr>
    </w:p>
    <w:p w14:paraId="00000029" w14:textId="77777777" w:rsidR="00CC74B9" w:rsidRDefault="00B477E5">
      <w:pPr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Registration and Conference Fees</w:t>
      </w:r>
    </w:p>
    <w:p w14:paraId="0000002A" w14:textId="77777777" w:rsidR="00CC74B9" w:rsidRDefault="00CC74B9">
      <w:pPr>
        <w:ind w:right="135"/>
        <w:rPr>
          <w:rFonts w:ascii="Times New Roman" w:eastAsia="Times New Roman" w:hAnsi="Times New Roman" w:cs="Times New Roman"/>
          <w:sz w:val="22"/>
          <w:szCs w:val="22"/>
        </w:rPr>
      </w:pPr>
    </w:p>
    <w:p w14:paraId="0000002B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Submit 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proposal</w:t>
      </w:r>
      <w:r>
        <w:rPr>
          <w:rFonts w:ascii="Times New Roman" w:eastAsia="Times New Roman" w:hAnsi="Times New Roman" w:cs="Times New Roman"/>
          <w:color w:val="000000"/>
        </w:rPr>
        <w:t xml:space="preserve"> to </w:t>
      </w:r>
      <w:hyperlink r:id="rId9">
        <w:r>
          <w:rPr>
            <w:rFonts w:ascii="Times New Roman" w:eastAsia="Times New Roman" w:hAnsi="Times New Roman" w:cs="Times New Roman"/>
            <w:color w:val="386EFF"/>
            <w:u w:val="single"/>
          </w:rPr>
          <w:t>aatsp.ontario@gmail.com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in WORD format (max. 250 words) by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a.m. </w:t>
      </w:r>
      <w:r>
        <w:rPr>
          <w:rFonts w:ascii="Times New Roman" w:eastAsia="Times New Roman" w:hAnsi="Times New Roman" w:cs="Times New Roman"/>
          <w:b/>
        </w:rPr>
        <w:t>Thursday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</w:rPr>
        <w:t>September 30</w:t>
      </w:r>
      <w:r>
        <w:rPr>
          <w:rFonts w:ascii="Times New Roman" w:eastAsia="Times New Roman" w:hAnsi="Times New Roman" w:cs="Times New Roman"/>
          <w:b/>
          <w:color w:val="000000"/>
        </w:rPr>
        <w:t>, 20</w:t>
      </w:r>
      <w:r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color w:val="000000"/>
        </w:rPr>
        <w:t>. Include the presenter(s)’s name(s), professional affiliations, and the title of the presentation (</w:t>
      </w:r>
      <w:r>
        <w:rPr>
          <w:rFonts w:ascii="Times New Roman" w:eastAsia="Times New Roman" w:hAnsi="Times New Roman" w:cs="Times New Roman"/>
        </w:rPr>
        <w:t xml:space="preserve">Please fill out the </w:t>
      </w:r>
      <w:r>
        <w:rPr>
          <w:rFonts w:ascii="Times New Roman" w:eastAsia="Times New Roman" w:hAnsi="Times New Roman" w:cs="Times New Roman"/>
          <w:color w:val="000000"/>
        </w:rPr>
        <w:t xml:space="preserve">Proposal Form). </w:t>
      </w:r>
    </w:p>
    <w:p w14:paraId="0000002C" w14:textId="77777777" w:rsidR="00CC74B9" w:rsidRDefault="00CC74B9">
      <w:pPr>
        <w:ind w:right="135"/>
        <w:rPr>
          <w:rFonts w:ascii="Times New Roman" w:eastAsia="Times New Roman" w:hAnsi="Times New Roman" w:cs="Times New Roman"/>
        </w:rPr>
      </w:pPr>
    </w:p>
    <w:p w14:paraId="0000002D" w14:textId="77777777" w:rsidR="00CC74B9" w:rsidRDefault="00B477E5">
      <w:pPr>
        <w:ind w:right="135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Conference fees are waived for this online event</w:t>
      </w:r>
      <w:r>
        <w:rPr>
          <w:rFonts w:ascii="Times New Roman" w:eastAsia="Times New Roman" w:hAnsi="Times New Roman" w:cs="Times New Roman"/>
          <w:color w:val="000000"/>
          <w:u w:val="single"/>
        </w:rPr>
        <w:t>. Parti</w:t>
      </w:r>
      <w:r>
        <w:rPr>
          <w:rFonts w:ascii="Times New Roman" w:eastAsia="Times New Roman" w:hAnsi="Times New Roman" w:cs="Times New Roman"/>
          <w:u w:val="single"/>
        </w:rPr>
        <w:t>cipants are expected to be members of the AATSP in order to participate.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For membership </w:t>
      </w:r>
      <w:r>
        <w:rPr>
          <w:rFonts w:ascii="Times New Roman" w:eastAsia="Times New Roman" w:hAnsi="Times New Roman" w:cs="Times New Roman"/>
        </w:rPr>
        <w:t>see the following link: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www.aatsp.org/general/register_member_type.asp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  </w:t>
      </w:r>
    </w:p>
    <w:p w14:paraId="0000002E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F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AATSP-ON ELECTIONS</w:t>
      </w:r>
    </w:p>
    <w:p w14:paraId="00000030" w14:textId="77777777" w:rsidR="00CC74B9" w:rsidRDefault="00CC74B9">
      <w:pPr>
        <w:ind w:right="13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31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2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Times New Roman" w:hAnsi="Times New Roman" w:cs="Times New Roman"/>
          <w:color w:val="000000"/>
        </w:rPr>
        <w:t xml:space="preserve"> conference will include the election of a </w:t>
      </w:r>
      <w:r>
        <w:rPr>
          <w:rFonts w:ascii="Times New Roman" w:eastAsia="Times New Roman" w:hAnsi="Times New Roman" w:cs="Times New Roman"/>
        </w:rPr>
        <w:t>vice-president,</w:t>
      </w:r>
      <w:r>
        <w:rPr>
          <w:rFonts w:ascii="Times New Roman" w:eastAsia="Times New Roman" w:hAnsi="Times New Roman" w:cs="Times New Roman"/>
          <w:color w:val="000000"/>
        </w:rPr>
        <w:t xml:space="preserve"> a treasurer, a</w:t>
      </w:r>
      <w:r>
        <w:rPr>
          <w:rFonts w:ascii="Times New Roman" w:eastAsia="Times New Roman" w:hAnsi="Times New Roman" w:cs="Times New Roman"/>
        </w:rPr>
        <w:t xml:space="preserve">nd a </w:t>
      </w:r>
      <w:r>
        <w:rPr>
          <w:rFonts w:ascii="Times New Roman" w:eastAsia="Times New Roman" w:hAnsi="Times New Roman" w:cs="Times New Roman"/>
          <w:color w:val="000000"/>
        </w:rPr>
        <w:t xml:space="preserve">secretary for the AATSP-ON </w:t>
      </w:r>
      <w:r>
        <w:rPr>
          <w:rFonts w:ascii="Times New Roman" w:eastAsia="Times New Roman" w:hAnsi="Times New Roman" w:cs="Times New Roman"/>
          <w:color w:val="000000"/>
        </w:rPr>
        <w:t>Chapter. All members interested in nominating colleagues or themselves may do so until the conference dates. Positions will cover the period from January 2022 to December 2023.</w:t>
      </w:r>
    </w:p>
    <w:p w14:paraId="00000032" w14:textId="77777777" w:rsidR="00CC74B9" w:rsidRDefault="00CC74B9">
      <w:pPr>
        <w:ind w:right="13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33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See you</w:t>
      </w:r>
      <w:r>
        <w:rPr>
          <w:rFonts w:ascii="Times New Roman" w:eastAsia="Times New Roman" w:hAnsi="Times New Roman" w:cs="Times New Roman"/>
          <w:b/>
        </w:rPr>
        <w:t xml:space="preserve"> in October! </w:t>
      </w:r>
      <w:r>
        <w:rPr>
          <w:rFonts w:ascii="Times New Roman" w:eastAsia="Times New Roman" w:hAnsi="Times New Roman" w:cs="Times New Roman"/>
          <w:color w:val="000000"/>
        </w:rPr>
        <w:t>For more information, visit:</w:t>
      </w:r>
      <w:r>
        <w:rPr>
          <w:rFonts w:ascii="Times New Roman" w:eastAsia="Times New Roman" w:hAnsi="Times New Roman" w:cs="Times New Roman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https://aatspontario.ca/</w:t>
        </w:r>
      </w:hyperlink>
    </w:p>
    <w:p w14:paraId="00000034" w14:textId="77777777" w:rsidR="00CC74B9" w:rsidRDefault="00CC74B9">
      <w:pPr>
        <w:ind w:right="135"/>
        <w:jc w:val="both"/>
        <w:rPr>
          <w:rFonts w:ascii="Times New Roman" w:eastAsia="Times New Roman" w:hAnsi="Times New Roman" w:cs="Times New Roman"/>
        </w:rPr>
      </w:pPr>
    </w:p>
    <w:p w14:paraId="00000035" w14:textId="77777777" w:rsidR="00CC74B9" w:rsidRDefault="00CC74B9">
      <w:pPr>
        <w:ind w:right="13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36" w14:textId="77777777" w:rsidR="00CC74B9" w:rsidRDefault="00B477E5">
      <w:pPr>
        <w:ind w:right="13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Organizing Committee</w:t>
      </w:r>
    </w:p>
    <w:p w14:paraId="00000037" w14:textId="77777777" w:rsidR="00CC74B9" w:rsidRDefault="00CC74B9">
      <w:pPr>
        <w:ind w:right="135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38" w14:textId="77777777" w:rsidR="00CC74B9" w:rsidRDefault="00B477E5" w:rsidP="00AE3C0A">
      <w:pPr>
        <w:spacing w:line="360" w:lineRule="auto"/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Adriana Kolijn, President, University of Ottawa, akolijn@uottawa.ca</w:t>
      </w:r>
    </w:p>
    <w:p w14:paraId="00000039" w14:textId="77777777" w:rsidR="00CC74B9" w:rsidRDefault="00B477E5" w:rsidP="00AE3C0A">
      <w:pPr>
        <w:spacing w:line="360" w:lineRule="auto"/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>
        <w:rPr>
          <w:rFonts w:ascii="Times New Roman" w:eastAsia="Times New Roman" w:hAnsi="Times New Roman" w:cs="Times New Roman"/>
          <w:color w:val="000000"/>
        </w:rPr>
        <w:t>Ana García-Allen, Vice-President, University of Western Ontario, agarcia@uwo.ca</w:t>
      </w:r>
    </w:p>
    <w:p w14:paraId="0000003A" w14:textId="77777777" w:rsidR="00CC74B9" w:rsidRDefault="00B477E5" w:rsidP="00AE3C0A">
      <w:pPr>
        <w:spacing w:line="360" w:lineRule="auto"/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Jesse Leonard, Secretary, University of Ottawa, jleon025@uottawa.ca</w:t>
      </w:r>
    </w:p>
    <w:p w14:paraId="0000003B" w14:textId="77777777" w:rsidR="00CC74B9" w:rsidRDefault="00B477E5" w:rsidP="00AE3C0A">
      <w:pPr>
        <w:spacing w:line="360" w:lineRule="auto"/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Dr. May Morpaw, Treasurer, University of Ottawa, mmorp034@uottawa.ca</w:t>
      </w:r>
    </w:p>
    <w:p w14:paraId="0000003C" w14:textId="77777777" w:rsidR="00CC74B9" w:rsidRDefault="00B477E5" w:rsidP="00AE3C0A">
      <w:pPr>
        <w:spacing w:line="360" w:lineRule="auto"/>
        <w:ind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Annik Bilodeau, Past President, Uni</w:t>
      </w:r>
      <w:r>
        <w:rPr>
          <w:rFonts w:ascii="Times New Roman" w:eastAsia="Times New Roman" w:hAnsi="Times New Roman" w:cs="Times New Roman"/>
        </w:rPr>
        <w:t>versity of Waterloo, a2bilodeau@uwaterloo.ca</w:t>
      </w:r>
    </w:p>
    <w:p w14:paraId="0000003D" w14:textId="77777777" w:rsidR="00CC74B9" w:rsidRDefault="00CC74B9">
      <w:pPr>
        <w:ind w:left="360"/>
        <w:rPr>
          <w:rFonts w:ascii="Times New Roman" w:eastAsia="Times New Roman" w:hAnsi="Times New Roman" w:cs="Times New Roman"/>
        </w:rPr>
      </w:pPr>
    </w:p>
    <w:sectPr w:rsidR="00CC74B9">
      <w:type w:val="continuous"/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BDA"/>
    <w:multiLevelType w:val="multilevel"/>
    <w:tmpl w:val="AD18F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D6649"/>
    <w:multiLevelType w:val="multilevel"/>
    <w:tmpl w:val="75F810C2"/>
    <w:lvl w:ilvl="0">
      <w:start w:val="1"/>
      <w:numFmt w:val="bullet"/>
      <w:lvlText w:val="●"/>
      <w:lvlJc w:val="left"/>
      <w:pPr>
        <w:ind w:left="27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552149"/>
    <w:multiLevelType w:val="multilevel"/>
    <w:tmpl w:val="4F5CE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·"/>
      <w:lvlJc w:val="left"/>
      <w:pPr>
        <w:ind w:left="1520" w:hanging="44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B9"/>
    <w:rsid w:val="00A20955"/>
    <w:rsid w:val="00AE3C0A"/>
    <w:rsid w:val="00B477E5"/>
    <w:rsid w:val="00CC74B9"/>
    <w:rsid w:val="00F42CE5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CA0A"/>
  <w15:docId w15:val="{1C727A72-2C22-4728-92B7-433E09EE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EC"/>
  </w:style>
  <w:style w:type="paragraph" w:styleId="Heading1">
    <w:name w:val="heading 1"/>
    <w:basedOn w:val="Normal"/>
    <w:next w:val="Normal"/>
    <w:link w:val="Heading1Char"/>
    <w:uiPriority w:val="9"/>
    <w:qFormat/>
    <w:rsid w:val="00CD1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3">
    <w:name w:val="Style3"/>
    <w:basedOn w:val="Heading1"/>
    <w:qFormat/>
    <w:rsid w:val="00CD1B5E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32"/>
      <w:sz w:val="24"/>
      <w:szCs w:val="24"/>
      <w:shd w:val="clear" w:color="auto" w:fill="FFFFFF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D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A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A2E8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A2E8A"/>
  </w:style>
  <w:style w:type="paragraph" w:styleId="ListParagraph">
    <w:name w:val="List Paragraph"/>
    <w:basedOn w:val="Normal"/>
    <w:uiPriority w:val="34"/>
    <w:qFormat/>
    <w:rsid w:val="00FA2E8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nport.utoront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atspontario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atsp.org/general/register_member_type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tsp.ontar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Df9V4FQabldKiphbnmXt+Xfldw==">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Adriana Kolijn</cp:lastModifiedBy>
  <cp:revision>6</cp:revision>
  <dcterms:created xsi:type="dcterms:W3CDTF">2019-05-17T15:10:00Z</dcterms:created>
  <dcterms:modified xsi:type="dcterms:W3CDTF">2021-07-06T13:20:00Z</dcterms:modified>
</cp:coreProperties>
</file>