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6B1" w:rsidRPr="000836B1" w:rsidRDefault="000836B1" w:rsidP="000836B1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</w:pPr>
      <w:r w:rsidRPr="00083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  <w:t>Convocatoria nueva sección </w:t>
      </w:r>
      <w:bookmarkStart w:id="0" w:name="_GoBack"/>
      <w:r w:rsidRPr="00083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ES"/>
        </w:rPr>
        <w:t>Revista de Literatura Medieval</w:t>
      </w:r>
      <w:r w:rsidRPr="00083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  <w:t> </w:t>
      </w:r>
      <w:bookmarkEnd w:id="0"/>
    </w:p>
    <w:p w:rsidR="000836B1" w:rsidRPr="000836B1" w:rsidRDefault="000836B1" w:rsidP="000836B1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</w:pPr>
      <w:r w:rsidRPr="000836B1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:rsidR="000836B1" w:rsidRPr="000836B1" w:rsidRDefault="000836B1" w:rsidP="000836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</w:pPr>
      <w:r w:rsidRPr="000836B1">
        <w:rPr>
          <w:rFonts w:ascii="Times New Roman" w:eastAsia="Times New Roman" w:hAnsi="Times New Roman" w:cs="Times New Roman"/>
          <w:color w:val="000000"/>
          <w:lang w:val="es-ES"/>
        </w:rPr>
        <w:t>La</w:t>
      </w:r>
      <w:r w:rsidRPr="000836B1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 </w:t>
      </w:r>
      <w:hyperlink r:id="rId4" w:tooltip="https://recyt.fecyt.es/index.php/RLM/index" w:history="1">
        <w:r w:rsidRPr="000836B1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val="es-ES"/>
          </w:rPr>
          <w:t>Revista de Literatura Medieval</w:t>
        </w:r>
      </w:hyperlink>
      <w:r w:rsidRPr="000836B1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 </w:t>
      </w:r>
      <w:r w:rsidRPr="000836B1">
        <w:rPr>
          <w:rFonts w:ascii="Times New Roman" w:eastAsia="Times New Roman" w:hAnsi="Times New Roman" w:cs="Times New Roman"/>
          <w:color w:val="000000"/>
          <w:lang w:val="es-ES"/>
        </w:rPr>
        <w:t>(</w:t>
      </w:r>
      <w:hyperlink r:id="rId5" w:history="1">
        <w:r w:rsidRPr="000836B1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DOAJ</w:t>
        </w:r>
      </w:hyperlink>
      <w:r w:rsidRPr="000836B1">
        <w:rPr>
          <w:rFonts w:ascii="Times New Roman" w:eastAsia="Times New Roman" w:hAnsi="Times New Roman" w:cs="Times New Roman"/>
          <w:color w:val="000000"/>
          <w:lang w:val="es-ES"/>
        </w:rPr>
        <w:t>, revista con sistema de evaluación por pares externos y doble ciego)</w:t>
      </w:r>
      <w:r w:rsidRPr="000836B1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 </w:t>
      </w:r>
      <w:r w:rsidRPr="000836B1">
        <w:rPr>
          <w:rFonts w:ascii="Times New Roman" w:eastAsia="Times New Roman" w:hAnsi="Times New Roman" w:cs="Times New Roman"/>
          <w:color w:val="000000"/>
          <w:lang w:val="es-ES"/>
        </w:rPr>
        <w:t>abre una nueva sección: </w:t>
      </w:r>
      <w:r w:rsidRPr="000836B1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Notas sobre manuscritos e impresos de obras medievales hispánicas</w:t>
      </w:r>
      <w:r w:rsidRPr="000836B1">
        <w:rPr>
          <w:rFonts w:ascii="Times New Roman" w:eastAsia="Times New Roman" w:hAnsi="Times New Roman" w:cs="Times New Roman"/>
          <w:color w:val="000000"/>
          <w:lang w:val="es-ES"/>
        </w:rPr>
        <w:t>. Su objetivo es proporcionar un espacio en el que dar noticia acerca de la circulación material de las obras hispánicas de la Edad Media, durante este periodo y hasta el s. XIX inclusive.</w:t>
      </w:r>
      <w:r w:rsidRPr="000836B1">
        <w:rPr>
          <w:rFonts w:ascii="Times New Roman" w:eastAsia="Times New Roman" w:hAnsi="Times New Roman" w:cs="Times New Roman"/>
          <w:color w:val="222222"/>
          <w:lang w:val="es-ES"/>
        </w:rPr>
        <w:t> </w:t>
      </w:r>
    </w:p>
    <w:p w:rsidR="000836B1" w:rsidRPr="000836B1" w:rsidRDefault="000836B1" w:rsidP="000836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</w:pPr>
      <w:r w:rsidRPr="000836B1">
        <w:rPr>
          <w:rFonts w:ascii="Times New Roman" w:eastAsia="Times New Roman" w:hAnsi="Times New Roman" w:cs="Times New Roman"/>
          <w:color w:val="000000"/>
          <w:lang w:val="es-ES"/>
        </w:rPr>
        <w:t>Las notas pueden consistir en nuevos descubrimientos, correcciones a la información existente en repertorios impresos o contenidos en bases de datos o aportaciones que complementan los datos conocidos.</w:t>
      </w:r>
      <w:r w:rsidRPr="000836B1">
        <w:rPr>
          <w:rFonts w:ascii="Times New Roman" w:eastAsia="Times New Roman" w:hAnsi="Times New Roman" w:cs="Times New Roman"/>
          <w:color w:val="222222"/>
          <w:lang w:val="es-ES"/>
        </w:rPr>
        <w:t> </w:t>
      </w:r>
    </w:p>
    <w:p w:rsidR="000836B1" w:rsidRPr="000836B1" w:rsidRDefault="000836B1" w:rsidP="000836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</w:pPr>
      <w:r w:rsidRPr="000836B1">
        <w:rPr>
          <w:rFonts w:ascii="Times New Roman" w:eastAsia="Times New Roman" w:hAnsi="Times New Roman" w:cs="Times New Roman"/>
          <w:color w:val="000000"/>
          <w:lang w:val="es-ES"/>
        </w:rPr>
        <w:t>Los autores encontrarán información sobre el envío de originales </w:t>
      </w:r>
      <w:hyperlink r:id="rId6" w:tgtFrame="_blank" w:history="1">
        <w:r w:rsidRPr="000836B1">
          <w:rPr>
            <w:rFonts w:ascii="Times New Roman" w:eastAsia="Times New Roman" w:hAnsi="Times New Roman" w:cs="Times New Roman"/>
            <w:color w:val="1155CC"/>
            <w:u w:val="single"/>
            <w:lang w:val="es-ES"/>
          </w:rPr>
          <w:t>aquí</w:t>
        </w:r>
      </w:hyperlink>
      <w:r w:rsidRPr="000836B1">
        <w:rPr>
          <w:rFonts w:ascii="Times New Roman" w:eastAsia="Times New Roman" w:hAnsi="Times New Roman" w:cs="Times New Roman"/>
          <w:color w:val="000000"/>
          <w:lang w:val="es-ES"/>
        </w:rPr>
        <w:t>.</w:t>
      </w:r>
      <w:r w:rsidRPr="000836B1">
        <w:rPr>
          <w:rFonts w:ascii="Times New Roman" w:eastAsia="Times New Roman" w:hAnsi="Times New Roman" w:cs="Times New Roman"/>
          <w:color w:val="222222"/>
          <w:lang w:val="es-ES"/>
        </w:rPr>
        <w:t> </w:t>
      </w:r>
    </w:p>
    <w:p w:rsidR="000836B1" w:rsidRPr="000836B1" w:rsidRDefault="000836B1" w:rsidP="000836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</w:pPr>
      <w:r w:rsidRPr="000836B1">
        <w:rPr>
          <w:rFonts w:ascii="Times New Roman" w:eastAsia="Times New Roman" w:hAnsi="Times New Roman" w:cs="Times New Roman"/>
          <w:color w:val="000000"/>
          <w:lang w:val="es-ES"/>
        </w:rPr>
        <w:t>Esta sección es resultado de la colaboración con </w:t>
      </w:r>
      <w:hyperlink r:id="rId7" w:tgtFrame="_blank" w:history="1">
        <w:r w:rsidRPr="000836B1">
          <w:rPr>
            <w:rFonts w:ascii="Times New Roman" w:eastAsia="Times New Roman" w:hAnsi="Times New Roman" w:cs="Times New Roman"/>
            <w:i/>
            <w:iCs/>
            <w:color w:val="1155CC"/>
            <w:u w:val="single"/>
            <w:lang w:val="es-ES"/>
          </w:rPr>
          <w:t>Philobiblon</w:t>
        </w:r>
      </w:hyperlink>
      <w:r w:rsidRPr="000836B1">
        <w:rPr>
          <w:rFonts w:ascii="Times New Roman" w:eastAsia="Times New Roman" w:hAnsi="Times New Roman" w:cs="Times New Roman"/>
          <w:color w:val="000000"/>
          <w:lang w:val="es-ES"/>
        </w:rPr>
        <w:t>, por lo que os animamos a seguir como referencia e incorporar como Anexo a vuestro artículo una de las fichas-modelo que este proyecto pone a disposición de todos como guía para la descripción de los MSS, de los impresos antiguos y de elementos prosopográficos (</w:t>
      </w:r>
      <w:hyperlink r:id="rId8" w:tgtFrame="_blank" w:history="1">
        <w:r w:rsidRPr="000836B1">
          <w:rPr>
            <w:rFonts w:ascii="Times New Roman" w:eastAsia="Times New Roman" w:hAnsi="Times New Roman" w:cs="Times New Roman"/>
            <w:color w:val="0563C1"/>
            <w:u w:val="single"/>
            <w:lang w:val="es-ES"/>
          </w:rPr>
          <w:t>aquí</w:t>
        </w:r>
      </w:hyperlink>
      <w:r w:rsidRPr="000836B1">
        <w:rPr>
          <w:rFonts w:ascii="Times New Roman" w:eastAsia="Times New Roman" w:hAnsi="Times New Roman" w:cs="Times New Roman"/>
          <w:color w:val="000000"/>
          <w:lang w:val="es-ES"/>
        </w:rPr>
        <w:t>).</w:t>
      </w:r>
      <w:r w:rsidRPr="000836B1">
        <w:rPr>
          <w:rFonts w:ascii="Times New Roman" w:eastAsia="Times New Roman" w:hAnsi="Times New Roman" w:cs="Times New Roman"/>
          <w:color w:val="222222"/>
          <w:lang w:val="es-ES"/>
        </w:rPr>
        <w:t> </w:t>
      </w:r>
    </w:p>
    <w:p w:rsidR="000836B1" w:rsidRPr="000836B1" w:rsidRDefault="000836B1" w:rsidP="000836B1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</w:pPr>
      <w:r w:rsidRPr="000836B1">
        <w:rPr>
          <w:rFonts w:ascii="Times New Roman" w:eastAsia="Times New Roman" w:hAnsi="Times New Roman" w:cs="Times New Roman"/>
          <w:color w:val="000000"/>
          <w:lang w:val="es-ES"/>
        </w:rPr>
        <w:t>Asimismo, para los interesados </w:t>
      </w:r>
      <w:r w:rsidRPr="000836B1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Philobiblon</w:t>
      </w:r>
      <w:r w:rsidRPr="000836B1">
        <w:rPr>
          <w:rFonts w:ascii="Times New Roman" w:eastAsia="Times New Roman" w:hAnsi="Times New Roman" w:cs="Times New Roman"/>
          <w:color w:val="000000"/>
          <w:lang w:val="es-ES"/>
        </w:rPr>
        <w:t> cuenta con un </w:t>
      </w:r>
      <w:hyperlink r:id="rId9" w:tgtFrame="_blank" w:history="1">
        <w:r w:rsidRPr="000836B1">
          <w:rPr>
            <w:rFonts w:ascii="Times New Roman" w:eastAsia="Times New Roman" w:hAnsi="Times New Roman" w:cs="Times New Roman"/>
            <w:color w:val="1155CC"/>
            <w:u w:val="single"/>
            <w:lang w:val="es-ES"/>
          </w:rPr>
          <w:t>canal de YouTube</w:t>
        </w:r>
      </w:hyperlink>
      <w:r w:rsidRPr="000836B1">
        <w:rPr>
          <w:rFonts w:ascii="Times New Roman" w:eastAsia="Times New Roman" w:hAnsi="Times New Roman" w:cs="Times New Roman"/>
          <w:color w:val="000000"/>
          <w:lang w:val="es-ES"/>
        </w:rPr>
        <w:t> como apoyo sobre aspectos codicológicos y paleográficos. Toda la información incorporada de esta sección a </w:t>
      </w:r>
      <w:r w:rsidRPr="000836B1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Philobiblon</w:t>
      </w:r>
      <w:r w:rsidRPr="000836B1">
        <w:rPr>
          <w:rFonts w:ascii="Times New Roman" w:eastAsia="Times New Roman" w:hAnsi="Times New Roman" w:cs="Times New Roman"/>
          <w:color w:val="000000"/>
          <w:lang w:val="es-ES"/>
        </w:rPr>
        <w:t> será debidamente reconocida como fuente bibliográfica.</w:t>
      </w:r>
    </w:p>
    <w:p w:rsidR="000836B1" w:rsidRPr="000836B1" w:rsidRDefault="000836B1" w:rsidP="000836B1">
      <w:pPr>
        <w:rPr>
          <w:rFonts w:ascii="Calibri" w:eastAsia="Times New Roman" w:hAnsi="Calibri" w:cs="Calibri"/>
          <w:color w:val="000000"/>
          <w:lang w:val="es-ES"/>
        </w:rPr>
      </w:pPr>
    </w:p>
    <w:p w:rsidR="000836B1" w:rsidRPr="000836B1" w:rsidRDefault="000836B1" w:rsidP="000836B1">
      <w:pPr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</w:p>
    <w:p w:rsidR="000836B1" w:rsidRPr="000836B1" w:rsidRDefault="000836B1" w:rsidP="000836B1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836B1">
        <w:rPr>
          <w:rFonts w:ascii="Times New Roman" w:eastAsia="Times New Roman" w:hAnsi="Times New Roman" w:cs="Times New Roman"/>
          <w:b/>
          <w:bCs/>
          <w:color w:val="174E86"/>
          <w:sz w:val="28"/>
          <w:szCs w:val="28"/>
          <w:lang w:val="en-US"/>
        </w:rPr>
        <w:t>Call for paper New Section </w:t>
      </w:r>
      <w:r w:rsidRPr="000836B1">
        <w:rPr>
          <w:rFonts w:ascii="Times New Roman" w:eastAsia="Times New Roman" w:hAnsi="Times New Roman" w:cs="Times New Roman"/>
          <w:b/>
          <w:bCs/>
          <w:i/>
          <w:iCs/>
          <w:color w:val="174E86"/>
          <w:sz w:val="28"/>
          <w:szCs w:val="28"/>
          <w:lang w:val="en-US"/>
        </w:rPr>
        <w:t>Revista de Literatura Medieval</w:t>
      </w:r>
      <w:r w:rsidRPr="000836B1">
        <w:rPr>
          <w:rFonts w:ascii="Times New Roman" w:eastAsia="Times New Roman" w:hAnsi="Times New Roman" w:cs="Times New Roman"/>
          <w:b/>
          <w:bCs/>
          <w:color w:val="174E86"/>
          <w:sz w:val="28"/>
          <w:szCs w:val="28"/>
          <w:lang w:val="en-US"/>
        </w:rPr>
        <w:t> </w:t>
      </w:r>
    </w:p>
    <w:p w:rsidR="000836B1" w:rsidRPr="000836B1" w:rsidRDefault="000836B1" w:rsidP="000836B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 </w:t>
      </w:r>
    </w:p>
    <w:p w:rsidR="000836B1" w:rsidRPr="000836B1" w:rsidRDefault="000836B1" w:rsidP="000836B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836B1">
        <w:rPr>
          <w:rFonts w:ascii="Times New Roman" w:eastAsia="Times New Roman" w:hAnsi="Times New Roman" w:cs="Times New Roman"/>
          <w:color w:val="174E86"/>
          <w:lang w:val="en-US"/>
        </w:rPr>
        <w:t>The </w:t>
      </w:r>
      <w:hyperlink r:id="rId10" w:tgtFrame="_blank" w:history="1">
        <w:r w:rsidRPr="000836B1">
          <w:rPr>
            <w:rFonts w:ascii="Times New Roman" w:eastAsia="Times New Roman" w:hAnsi="Times New Roman" w:cs="Times New Roman"/>
            <w:i/>
            <w:iCs/>
            <w:color w:val="174E86"/>
            <w:u w:val="single"/>
            <w:shd w:val="clear" w:color="auto" w:fill="FFFFFF"/>
            <w:lang w:val="en-US"/>
          </w:rPr>
          <w:t>Revista de Literatura Medieval</w:t>
        </w:r>
      </w:hyperlink>
      <w:r w:rsidRPr="000836B1">
        <w:rPr>
          <w:rFonts w:ascii="Times New Roman" w:eastAsia="Times New Roman" w:hAnsi="Times New Roman" w:cs="Times New Roman"/>
          <w:i/>
          <w:iCs/>
          <w:color w:val="174E86"/>
          <w:shd w:val="clear" w:color="auto" w:fill="FFFFFF"/>
          <w:lang w:val="en-US"/>
        </w:rPr>
        <w:t>, </w:t>
      </w:r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a peer-reviewed Directory of Open Access Journal (</w:t>
      </w:r>
      <w:hyperlink r:id="rId11" w:history="1">
        <w:r w:rsidRPr="000836B1">
          <w:rPr>
            <w:rFonts w:ascii="Times New Roman" w:eastAsia="Times New Roman" w:hAnsi="Times New Roman" w:cs="Times New Roman"/>
            <w:color w:val="174E86"/>
            <w:u w:val="single"/>
            <w:shd w:val="clear" w:color="auto" w:fill="FFFFFF"/>
            <w:lang w:val="en-US"/>
          </w:rPr>
          <w:t>DOAJ</w:t>
        </w:r>
      </w:hyperlink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) for the Medieval Romance Literatures, opens a new section: </w:t>
      </w:r>
      <w:r w:rsidRPr="000836B1">
        <w:rPr>
          <w:rFonts w:ascii="Times New Roman" w:eastAsia="Times New Roman" w:hAnsi="Times New Roman" w:cs="Times New Roman"/>
          <w:b/>
          <w:bCs/>
          <w:color w:val="174E86"/>
          <w:shd w:val="clear" w:color="auto" w:fill="FFFFFF"/>
          <w:lang w:val="en-US"/>
        </w:rPr>
        <w:t>Notas sobre manuscritos e impresos de obras medievales hispánicas</w:t>
      </w:r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 [Notes on manuscripts and early imprints of medieval Hispanic works]. Its goal is to provide a space for notices about the material circulation of medieval Hispanic works from the Middle Ages and up to and including the 19th century.</w:t>
      </w:r>
    </w:p>
    <w:p w:rsidR="000836B1" w:rsidRPr="000836B1" w:rsidRDefault="000836B1" w:rsidP="000836B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836B1">
        <w:rPr>
          <w:rFonts w:ascii="Times New Roman" w:eastAsia="Times New Roman" w:hAnsi="Times New Roman" w:cs="Times New Roman"/>
          <w:color w:val="222222"/>
          <w:lang w:val="en-US"/>
        </w:rPr>
        <w:br/>
      </w:r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The notes  may consist of new discoveries, corrections to existing information in printed repertories or databases, or contributions that complement known data.</w:t>
      </w:r>
      <w:r w:rsidRPr="000836B1">
        <w:rPr>
          <w:rFonts w:ascii="Times New Roman" w:eastAsia="Times New Roman" w:hAnsi="Times New Roman" w:cs="Times New Roman"/>
          <w:color w:val="222222"/>
          <w:lang w:val="en-US"/>
        </w:rPr>
        <w:br/>
      </w:r>
      <w:r w:rsidRPr="000836B1">
        <w:rPr>
          <w:rFonts w:ascii="Times New Roman" w:eastAsia="Times New Roman" w:hAnsi="Times New Roman" w:cs="Times New Roman"/>
          <w:color w:val="222222"/>
          <w:lang w:val="en-US"/>
        </w:rPr>
        <w:br/>
      </w:r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Authors will find information on the submission of originals </w:t>
      </w:r>
      <w:hyperlink r:id="rId12" w:tgtFrame="_blank" w:history="1">
        <w:r w:rsidRPr="000836B1">
          <w:rPr>
            <w:rFonts w:ascii="Times New Roman" w:eastAsia="Times New Roman" w:hAnsi="Times New Roman" w:cs="Times New Roman"/>
            <w:color w:val="174E86"/>
            <w:u w:val="single"/>
            <w:shd w:val="clear" w:color="auto" w:fill="FFFFFF"/>
            <w:lang w:val="en-US"/>
          </w:rPr>
          <w:t>here</w:t>
        </w:r>
      </w:hyperlink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.</w:t>
      </w:r>
      <w:r w:rsidRPr="000836B1">
        <w:rPr>
          <w:rFonts w:ascii="Times New Roman" w:eastAsia="Times New Roman" w:hAnsi="Times New Roman" w:cs="Times New Roman"/>
          <w:color w:val="222222"/>
          <w:lang w:val="en-US"/>
        </w:rPr>
        <w:br/>
      </w:r>
      <w:r w:rsidRPr="000836B1">
        <w:rPr>
          <w:rFonts w:ascii="Times New Roman" w:eastAsia="Times New Roman" w:hAnsi="Times New Roman" w:cs="Times New Roman"/>
          <w:color w:val="222222"/>
          <w:lang w:val="en-US"/>
        </w:rPr>
        <w:br/>
      </w:r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This section is the result of collaboration with</w:t>
      </w:r>
      <w:hyperlink r:id="rId13" w:tgtFrame="_blank" w:history="1">
        <w:r w:rsidRPr="000836B1">
          <w:rPr>
            <w:rFonts w:ascii="Times New Roman" w:eastAsia="Times New Roman" w:hAnsi="Times New Roman" w:cs="Times New Roman"/>
            <w:color w:val="174E86"/>
            <w:u w:val="single"/>
            <w:shd w:val="clear" w:color="auto" w:fill="FFFFFF"/>
            <w:lang w:val="en-US"/>
          </w:rPr>
          <w:t> Philobiblon</w:t>
        </w:r>
      </w:hyperlink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. Therefore we encourage you to follow it as a reference and incorporate as an annex to your article one of the templates that this project makes available as a guide for the description of MSS, early imprints, and prosopographical elements (</w:t>
      </w:r>
      <w:hyperlink r:id="rId14" w:tgtFrame="_blank" w:history="1">
        <w:r w:rsidRPr="000836B1">
          <w:rPr>
            <w:rFonts w:ascii="Times New Roman" w:eastAsia="Times New Roman" w:hAnsi="Times New Roman" w:cs="Times New Roman"/>
            <w:color w:val="174E86"/>
            <w:u w:val="single"/>
            <w:shd w:val="clear" w:color="auto" w:fill="FFFFFF"/>
            <w:lang w:val="en-US"/>
          </w:rPr>
          <w:t>here</w:t>
        </w:r>
      </w:hyperlink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).</w:t>
      </w:r>
      <w:r w:rsidRPr="000836B1">
        <w:rPr>
          <w:rFonts w:ascii="Times New Roman" w:eastAsia="Times New Roman" w:hAnsi="Times New Roman" w:cs="Times New Roman"/>
          <w:color w:val="222222"/>
          <w:lang w:val="en-US"/>
        </w:rPr>
        <w:br/>
      </w:r>
      <w:r w:rsidRPr="000836B1">
        <w:rPr>
          <w:rFonts w:ascii="Times New Roman" w:eastAsia="Times New Roman" w:hAnsi="Times New Roman" w:cs="Times New Roman"/>
          <w:color w:val="222222"/>
          <w:lang w:val="en-US"/>
        </w:rPr>
        <w:br/>
      </w:r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For those interested, Philobiblon also has a </w:t>
      </w:r>
      <w:hyperlink r:id="rId15" w:tgtFrame="_blank" w:history="1">
        <w:r w:rsidRPr="000836B1">
          <w:rPr>
            <w:rFonts w:ascii="Times New Roman" w:eastAsia="Times New Roman" w:hAnsi="Times New Roman" w:cs="Times New Roman"/>
            <w:color w:val="174E86"/>
            <w:u w:val="single"/>
            <w:shd w:val="clear" w:color="auto" w:fill="FFFFFF"/>
            <w:lang w:val="en-US"/>
          </w:rPr>
          <w:t>YouTube channel</w:t>
        </w:r>
      </w:hyperlink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 as a resource for codicological and paleographic aspects. All the information incorporated from this section in Philobiblon will be duly acknowledged as a bibliographic source. </w:t>
      </w:r>
    </w:p>
    <w:p w:rsidR="000836B1" w:rsidRPr="000836B1" w:rsidRDefault="000836B1" w:rsidP="000836B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836B1">
        <w:rPr>
          <w:rFonts w:ascii="Times New Roman" w:eastAsia="Times New Roman" w:hAnsi="Times New Roman" w:cs="Times New Roman"/>
          <w:color w:val="174E86"/>
          <w:shd w:val="clear" w:color="auto" w:fill="FFFFFF"/>
          <w:lang w:val="en-US"/>
        </w:rPr>
        <w:t> </w:t>
      </w:r>
    </w:p>
    <w:p w:rsidR="003B0DCE" w:rsidRDefault="000836B1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B1"/>
    <w:rsid w:val="00034A31"/>
    <w:rsid w:val="000836B1"/>
    <w:rsid w:val="00434843"/>
    <w:rsid w:val="004762B4"/>
    <w:rsid w:val="004932F1"/>
    <w:rsid w:val="005F4688"/>
    <w:rsid w:val="00790A77"/>
    <w:rsid w:val="00991148"/>
    <w:rsid w:val="00B717EB"/>
    <w:rsid w:val="00C20314"/>
    <w:rsid w:val="00D72732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0353DFA-DE8C-F34B-B406-266BCDCE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36B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836B1"/>
  </w:style>
  <w:style w:type="character" w:customStyle="1" w:styleId="gmaildefault">
    <w:name w:val="gmaildefault"/>
    <w:basedOn w:val="DefaultParagraphFont"/>
    <w:rsid w:val="0008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croft.berkeley.edu/philobiblon/collaborate_en.html" TargetMode="External"/><Relationship Id="rId13" Type="http://schemas.openxmlformats.org/officeDocument/2006/relationships/hyperlink" Target="https://bancroft.berkeley.edu/philobibl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ncroft.berkeley.edu/philobiblon/" TargetMode="External"/><Relationship Id="rId12" Type="http://schemas.openxmlformats.org/officeDocument/2006/relationships/hyperlink" Target="https://recyt.fecyt.es/index.php/RLM/information/author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cyt.fecyt.es/index.php/RLM/information/authors" TargetMode="External"/><Relationship Id="rId11" Type="http://schemas.openxmlformats.org/officeDocument/2006/relationships/hyperlink" Target="https://doaj.org/" TargetMode="External"/><Relationship Id="rId5" Type="http://schemas.openxmlformats.org/officeDocument/2006/relationships/hyperlink" Target="https://doaj.org/" TargetMode="External"/><Relationship Id="rId15" Type="http://schemas.openxmlformats.org/officeDocument/2006/relationships/hyperlink" Target="https://www.youtube.com/c/PhiloBiblon_Berkeley/videos" TargetMode="External"/><Relationship Id="rId10" Type="http://schemas.openxmlformats.org/officeDocument/2006/relationships/hyperlink" Target="https://recyt.fecyt.es/index.php/RLM" TargetMode="External"/><Relationship Id="rId4" Type="http://schemas.openxmlformats.org/officeDocument/2006/relationships/hyperlink" Target="https://recyt.fecyt.es/index.php/RLM/index" TargetMode="External"/><Relationship Id="rId9" Type="http://schemas.openxmlformats.org/officeDocument/2006/relationships/hyperlink" Target="https://www.youtube.com/c/PhiloBiblon_Berkeley/videos" TargetMode="External"/><Relationship Id="rId14" Type="http://schemas.openxmlformats.org/officeDocument/2006/relationships/hyperlink" Target="https://bancroft.berkeley.edu/philobiblon/collaborate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2022-04-20T09:42:00Z</dcterms:created>
  <dcterms:modified xsi:type="dcterms:W3CDTF">2022-04-20T09:43:00Z</dcterms:modified>
</cp:coreProperties>
</file>