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CD630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bookmarkStart w:id="0" w:name="_GoBack"/>
      <w:bookmarkEnd w:id="0"/>
      <w:proofErr w:type="spellStart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>Estimades</w:t>
      </w:r>
      <w:proofErr w:type="spellEnd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 xml:space="preserve"> </w:t>
      </w:r>
      <w:proofErr w:type="spellStart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>Colegas</w:t>
      </w:r>
      <w:proofErr w:type="spellEnd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>,</w:t>
      </w:r>
    </w:p>
    <w:p w14:paraId="0481AC82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1"/>
          <w:szCs w:val="21"/>
        </w:rPr>
        <w:t>It is my greatest pleasure to share with you the invitation to the first event of the Series "</w:t>
      </w:r>
      <w:r w:rsidRPr="00E93705">
        <w:rPr>
          <w:rFonts w:ascii="Calibri" w:eastAsia="Times New Roman" w:hAnsi="Calibri" w:cs="Calibri"/>
          <w:i/>
          <w:iCs/>
          <w:color w:val="000000"/>
          <w:sz w:val="21"/>
          <w:szCs w:val="21"/>
        </w:rPr>
        <w:t>Indigeneity, Afro-descendants, and other marginalized populations in Latin America</w:t>
      </w:r>
      <w:r w:rsidRPr="00E93705">
        <w:rPr>
          <w:rFonts w:ascii="Calibri" w:eastAsia="Times New Roman" w:hAnsi="Calibri" w:cs="Calibri"/>
          <w:color w:val="000000"/>
          <w:sz w:val="21"/>
          <w:szCs w:val="21"/>
        </w:rPr>
        <w:t>”, which will take place on </w:t>
      </w:r>
      <w:r w:rsidRPr="00E93705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Monday October 11 at 4pm EST/ 3pm CT</w:t>
      </w:r>
      <w:r w:rsidRPr="00E93705">
        <w:rPr>
          <w:rFonts w:ascii="Calibri" w:eastAsia="Times New Roman" w:hAnsi="Calibri" w:cs="Calibri"/>
          <w:color w:val="000000"/>
          <w:sz w:val="21"/>
          <w:szCs w:val="21"/>
        </w:rPr>
        <w:t>, and is titled </w:t>
      </w:r>
      <w:r w:rsidRPr="00E93705">
        <w:rPr>
          <w:rFonts w:ascii="Calibri" w:eastAsia="Times New Roman" w:hAnsi="Calibri" w:cs="Calibri"/>
          <w:b/>
          <w:bCs/>
          <w:color w:val="000000"/>
          <w:sz w:val="21"/>
          <w:szCs w:val="21"/>
        </w:rPr>
        <w:t>Varieties of Justice in the Americas for Brown and Black People</w:t>
      </w:r>
      <w:r w:rsidRPr="00E93705">
        <w:rPr>
          <w:rFonts w:ascii="Calibri" w:eastAsia="Times New Roman" w:hAnsi="Calibri" w:cs="Calibri"/>
          <w:color w:val="000000"/>
          <w:sz w:val="21"/>
          <w:szCs w:val="21"/>
        </w:rPr>
        <w:t>. </w:t>
      </w:r>
    </w:p>
    <w:p w14:paraId="7DC3AC1F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1"/>
          <w:szCs w:val="21"/>
        </w:rPr>
        <w:br/>
        <w:t xml:space="preserve">This first event has been organized by Isabella </w:t>
      </w:r>
      <w:proofErr w:type="spellStart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>Alcañiz</w:t>
      </w:r>
      <w:proofErr w:type="spellEnd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>, Director of the </w:t>
      </w:r>
      <w:hyperlink r:id="rId4" w:history="1">
        <w:r w:rsidRPr="00E93705">
          <w:rPr>
            <w:rFonts w:ascii="Calibri" w:eastAsia="Times New Roman" w:hAnsi="Calibri" w:cs="Calibri"/>
            <w:color w:val="800080"/>
            <w:sz w:val="21"/>
            <w:szCs w:val="21"/>
            <w:u w:val="single"/>
          </w:rPr>
          <w:t>Latin American and Caribbean Studies Center</w:t>
        </w:r>
      </w:hyperlink>
      <w:r w:rsidRPr="00E93705">
        <w:rPr>
          <w:rFonts w:ascii="Calibri" w:eastAsia="Times New Roman" w:hAnsi="Calibri" w:cs="Calibri"/>
          <w:color w:val="000000"/>
          <w:sz w:val="21"/>
          <w:szCs w:val="21"/>
        </w:rPr>
        <w:t xml:space="preserve"> of the </w:t>
      </w:r>
      <w:proofErr w:type="spellStart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>Univeristy</w:t>
      </w:r>
      <w:proofErr w:type="spellEnd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 xml:space="preserve"> of Maryland, in collaboration with Identidad Marron of Argentina, the </w:t>
      </w:r>
      <w:hyperlink r:id="rId5" w:history="1">
        <w:r w:rsidRPr="00E93705">
          <w:rPr>
            <w:rFonts w:ascii="Calibri" w:eastAsia="Times New Roman" w:hAnsi="Calibri" w:cs="Calibri"/>
            <w:color w:val="800080"/>
            <w:sz w:val="21"/>
            <w:szCs w:val="21"/>
            <w:u w:val="single"/>
          </w:rPr>
          <w:t>CISEPA</w:t>
        </w:r>
      </w:hyperlink>
      <w:r w:rsidRPr="00E93705">
        <w:rPr>
          <w:rFonts w:ascii="Calibri" w:eastAsia="Times New Roman" w:hAnsi="Calibri" w:cs="Calibri"/>
          <w:color w:val="000000"/>
          <w:sz w:val="21"/>
          <w:szCs w:val="21"/>
        </w:rPr>
        <w:t> of PUCP-Peru, and the </w:t>
      </w:r>
      <w:hyperlink r:id="rId6" w:history="1">
        <w:r w:rsidRPr="00E93705">
          <w:rPr>
            <w:rFonts w:ascii="Calibri" w:eastAsia="Times New Roman" w:hAnsi="Calibri" w:cs="Calibri"/>
            <w:color w:val="800080"/>
            <w:sz w:val="21"/>
            <w:szCs w:val="21"/>
            <w:u w:val="single"/>
          </w:rPr>
          <w:t xml:space="preserve">Centro de </w:t>
        </w:r>
        <w:proofErr w:type="spellStart"/>
        <w:r w:rsidRPr="00E93705">
          <w:rPr>
            <w:rFonts w:ascii="Calibri" w:eastAsia="Times New Roman" w:hAnsi="Calibri" w:cs="Calibri"/>
            <w:color w:val="800080"/>
            <w:sz w:val="21"/>
            <w:szCs w:val="21"/>
            <w:u w:val="single"/>
          </w:rPr>
          <w:t>Estudios</w:t>
        </w:r>
        <w:proofErr w:type="spellEnd"/>
        <w:r w:rsidRPr="00E93705">
          <w:rPr>
            <w:rFonts w:ascii="Calibri" w:eastAsia="Times New Roman" w:hAnsi="Calibri" w:cs="Calibri"/>
            <w:color w:val="800080"/>
            <w:sz w:val="21"/>
            <w:szCs w:val="21"/>
            <w:u w:val="single"/>
          </w:rPr>
          <w:t xml:space="preserve"> </w:t>
        </w:r>
        <w:proofErr w:type="spellStart"/>
        <w:r w:rsidRPr="00E93705">
          <w:rPr>
            <w:rFonts w:ascii="Calibri" w:eastAsia="Times New Roman" w:hAnsi="Calibri" w:cs="Calibri"/>
            <w:color w:val="800080"/>
            <w:sz w:val="21"/>
            <w:szCs w:val="21"/>
            <w:u w:val="single"/>
          </w:rPr>
          <w:t>Latinoamericanos</w:t>
        </w:r>
        <w:proofErr w:type="spellEnd"/>
      </w:hyperlink>
      <w:r w:rsidRPr="00E93705">
        <w:rPr>
          <w:rFonts w:ascii="Calibri" w:eastAsia="Times New Roman" w:hAnsi="Calibri" w:cs="Calibri"/>
          <w:color w:val="000000"/>
          <w:sz w:val="21"/>
          <w:szCs w:val="21"/>
        </w:rPr>
        <w:t> de la UNSAM-Argentina. It is truly exemplary of the type of collaborations, topics, and speakers, that we are seeking to promote with this Series. </w:t>
      </w:r>
    </w:p>
    <w:p w14:paraId="56AF2A9B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19025434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1"/>
          <w:szCs w:val="21"/>
        </w:rPr>
        <w:t xml:space="preserve">We are extremely thankful to the organizers of this excellent first event (particularly considering the celerity with which the event had to </w:t>
      </w:r>
      <w:proofErr w:type="gramStart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>be  organized</w:t>
      </w:r>
      <w:proofErr w:type="gramEnd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>), as well as to those who have submitted proposals for future dates (we will share the schedule of future events soon). </w:t>
      </w:r>
    </w:p>
    <w:p w14:paraId="096504D8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03777D8E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1"/>
          <w:szCs w:val="21"/>
        </w:rPr>
        <w:t>I look forward to seeing everyone on the 11th! All the relevant information, including webinar link, follows.</w:t>
      </w:r>
    </w:p>
    <w:p w14:paraId="1A187513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37500E21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1"/>
          <w:szCs w:val="21"/>
        </w:rPr>
        <w:t>Tulia (</w:t>
      </w:r>
      <w:proofErr w:type="spellStart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>Falleti</w:t>
      </w:r>
      <w:proofErr w:type="spellEnd"/>
      <w:r w:rsidRPr="00E93705">
        <w:rPr>
          <w:rFonts w:ascii="Calibri" w:eastAsia="Times New Roman" w:hAnsi="Calibri" w:cs="Calibri"/>
          <w:color w:val="000000"/>
          <w:sz w:val="21"/>
          <w:szCs w:val="21"/>
        </w:rPr>
        <w:t>)</w:t>
      </w:r>
    </w:p>
    <w:p w14:paraId="153AD29F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1"/>
          <w:szCs w:val="21"/>
        </w:rPr>
        <w:t>Chair, Center Director Section LASA </w:t>
      </w:r>
    </w:p>
    <w:p w14:paraId="0CAECDF2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91F6886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34F9AB95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b/>
          <w:bCs/>
          <w:color w:val="741B47"/>
        </w:rPr>
        <w:t>Varieties of Justice in the Americas for Brown and Black People</w:t>
      </w:r>
    </w:p>
    <w:p w14:paraId="693830DE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222222"/>
        </w:rPr>
        <w:t>A multidisciplinary panel that examines Indigenous and Afro Latin Americans experiences in distributive, procedural, reparative, and restorative varieties of justice.  </w:t>
      </w:r>
    </w:p>
    <w:p w14:paraId="2BB7A844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222222"/>
        </w:rPr>
        <w:t> </w:t>
      </w:r>
    </w:p>
    <w:p w14:paraId="3FBEF698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E93705">
        <w:rPr>
          <w:rFonts w:ascii="Times New Roman" w:eastAsia="Times New Roman" w:hAnsi="Times New Roman" w:cs="Times New Roman"/>
          <w:b/>
          <w:bCs/>
          <w:color w:val="4C1130"/>
          <w:lang w:val="es-ES"/>
        </w:rPr>
        <w:t>Guest Speakers</w:t>
      </w:r>
    </w:p>
    <w:p w14:paraId="1C070069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E93705">
        <w:rPr>
          <w:rFonts w:ascii="Times New Roman" w:eastAsia="Times New Roman" w:hAnsi="Times New Roman" w:cs="Times New Roman"/>
          <w:color w:val="222222"/>
          <w:lang w:val="es-ES"/>
        </w:rPr>
        <w:t>Sandra Condori Mamani - Identidad Marrón, Argentina</w:t>
      </w:r>
    </w:p>
    <w:p w14:paraId="53A771CB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E93705">
        <w:rPr>
          <w:rFonts w:ascii="Times New Roman" w:eastAsia="Times New Roman" w:hAnsi="Times New Roman" w:cs="Times New Roman"/>
          <w:color w:val="222222"/>
          <w:lang w:val="es-ES"/>
        </w:rPr>
        <w:t>Alejandro Mamani -Identidad Marrón, Argentina</w:t>
      </w:r>
    </w:p>
    <w:p w14:paraId="59C554AF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E93705">
        <w:rPr>
          <w:rFonts w:ascii="Times New Roman" w:eastAsia="Times New Roman" w:hAnsi="Times New Roman" w:cs="Times New Roman"/>
          <w:color w:val="222222"/>
          <w:lang w:val="es-ES"/>
        </w:rPr>
        <w:t>Camila Gianella Malca –CISEPA-PUCP, Peru</w:t>
      </w:r>
    </w:p>
    <w:p w14:paraId="024E928C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222222"/>
        </w:rPr>
        <w:t>Mariana Gómez – CEL/LICH-UNSAM &amp; CONICET, Argentina</w:t>
      </w:r>
    </w:p>
    <w:p w14:paraId="1B58B797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222222"/>
        </w:rPr>
        <w:t>Marcus Johnson – LACS/GVPT-UMD, US</w:t>
      </w:r>
    </w:p>
    <w:p w14:paraId="3587CE36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222222"/>
        </w:rPr>
        <w:t>Keisha Allan – LACS-UMD, US</w:t>
      </w:r>
    </w:p>
    <w:p w14:paraId="35FEBA7F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222222"/>
        </w:rPr>
        <w:t> </w:t>
      </w:r>
    </w:p>
    <w:p w14:paraId="08455B8E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b/>
          <w:bCs/>
          <w:color w:val="4C1130"/>
        </w:rPr>
        <w:t>Moderator</w:t>
      </w:r>
    </w:p>
    <w:p w14:paraId="67D5F9A6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222222"/>
        </w:rPr>
        <w:t xml:space="preserve">Isabella </w:t>
      </w:r>
      <w:proofErr w:type="spellStart"/>
      <w:r w:rsidRPr="00E93705">
        <w:rPr>
          <w:rFonts w:ascii="Times New Roman" w:eastAsia="Times New Roman" w:hAnsi="Times New Roman" w:cs="Times New Roman"/>
          <w:color w:val="222222"/>
        </w:rPr>
        <w:t>Alcañiz</w:t>
      </w:r>
      <w:proofErr w:type="spellEnd"/>
      <w:r w:rsidRPr="00E93705">
        <w:rPr>
          <w:rFonts w:ascii="Times New Roman" w:eastAsia="Times New Roman" w:hAnsi="Times New Roman" w:cs="Times New Roman"/>
          <w:color w:val="222222"/>
        </w:rPr>
        <w:t xml:space="preserve"> – LACS/GVPT-UMD, US</w:t>
      </w:r>
    </w:p>
    <w:p w14:paraId="16D755CF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5E03AD61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4E1F5182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E93705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WEBINAR LINK </w:t>
      </w:r>
      <w:hyperlink r:id="rId7" w:tgtFrame="_blank" w:history="1">
        <w:r w:rsidRPr="00E93705">
          <w:rPr>
            <w:rFonts w:ascii="Times New Roman" w:eastAsia="Times New Roman" w:hAnsi="Times New Roman" w:cs="Times New Roman"/>
            <w:color w:val="800080"/>
            <w:u w:val="single"/>
            <w:lang w:val="es-ES"/>
          </w:rPr>
          <w:t>https://umd.zoom.us/j/99068849938?pwd=VXQ3K3ZXYmpGWi9rN2lENUFKd1phdz09</w:t>
        </w:r>
      </w:hyperlink>
    </w:p>
    <w:p w14:paraId="2286B7F4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E93705">
        <w:rPr>
          <w:rFonts w:ascii="Times New Roman" w:eastAsia="Times New Roman" w:hAnsi="Times New Roman" w:cs="Times New Roman"/>
          <w:color w:val="000000"/>
          <w:lang w:val="es-ES"/>
        </w:rPr>
        <w:t> </w:t>
      </w:r>
    </w:p>
    <w:p w14:paraId="254BC94F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000000"/>
        </w:rPr>
        <w:t>The panel is in English and Spanish. Simultaneous translation will be offered.</w:t>
      </w:r>
    </w:p>
    <w:p w14:paraId="6776A1FB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000000"/>
        </w:rPr>
        <w:t> </w:t>
      </w:r>
    </w:p>
    <w:p w14:paraId="4D31028F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222222"/>
          <w:sz w:val="22"/>
          <w:szCs w:val="22"/>
        </w:rPr>
        <w:t> </w:t>
      </w:r>
    </w:p>
    <w:p w14:paraId="6C3C02C3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b/>
          <w:bCs/>
          <w:color w:val="4C1130"/>
        </w:rPr>
        <w:t>A LASA Center Director Section Monthly Speaker Series 2021-2022</w:t>
      </w:r>
      <w:r w:rsidRPr="00E93705">
        <w:rPr>
          <w:rFonts w:ascii="Arial" w:eastAsia="Times New Roman" w:hAnsi="Arial" w:cs="Arial"/>
          <w:b/>
          <w:bCs/>
          <w:color w:val="4C1130"/>
        </w:rPr>
        <w:t>         </w:t>
      </w:r>
    </w:p>
    <w:p w14:paraId="5542D25F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222222"/>
        </w:rPr>
        <w:t> </w:t>
      </w:r>
    </w:p>
    <w:p w14:paraId="7F8D7720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Times New Roman" w:eastAsia="Times New Roman" w:hAnsi="Times New Roman" w:cs="Times New Roman"/>
          <w:color w:val="222222"/>
        </w:rPr>
        <w:t>The </w:t>
      </w:r>
      <w:r w:rsidRPr="00E93705">
        <w:rPr>
          <w:rFonts w:ascii="Times New Roman" w:eastAsia="Times New Roman" w:hAnsi="Times New Roman" w:cs="Times New Roman"/>
          <w:b/>
          <w:bCs/>
          <w:color w:val="222222"/>
        </w:rPr>
        <w:t>LASA Center Director Section</w:t>
      </w:r>
      <w:r w:rsidRPr="00E93705">
        <w:rPr>
          <w:rFonts w:ascii="Times New Roman" w:eastAsia="Times New Roman" w:hAnsi="Times New Roman" w:cs="Times New Roman"/>
          <w:color w:val="222222"/>
        </w:rPr>
        <w:t xml:space="preserve"> sponsors a multi-centered speaker series focused on Indigeneity, Afro-descendants, and other marginalized populations in Latin America. The virtual </w:t>
      </w:r>
      <w:r w:rsidRPr="00E93705">
        <w:rPr>
          <w:rFonts w:ascii="Times New Roman" w:eastAsia="Times New Roman" w:hAnsi="Times New Roman" w:cs="Times New Roman"/>
          <w:color w:val="222222"/>
        </w:rPr>
        <w:lastRenderedPageBreak/>
        <w:t>series is held the first Monday of each month at 3PM CT/ 4PM EST, unless otherwise indicated. Varieties of Justice in the Americas for Brown and Black People is the first talk of the series.</w:t>
      </w:r>
    </w:p>
    <w:p w14:paraId="7120070D" w14:textId="77777777" w:rsidR="00E93705" w:rsidRPr="00E93705" w:rsidRDefault="00E93705" w:rsidP="00E9370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3705">
        <w:rPr>
          <w:rFonts w:ascii="Calibri" w:eastAsia="Times New Roman" w:hAnsi="Calibri" w:cs="Calibri"/>
          <w:color w:val="222222"/>
          <w:sz w:val="22"/>
          <w:szCs w:val="22"/>
        </w:rPr>
        <w:t> </w:t>
      </w:r>
    </w:p>
    <w:p w14:paraId="74BB6472" w14:textId="77777777" w:rsidR="003B0DCE" w:rsidRDefault="00421A00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05"/>
    <w:rsid w:val="00034A31"/>
    <w:rsid w:val="00421A00"/>
    <w:rsid w:val="00434843"/>
    <w:rsid w:val="004762B4"/>
    <w:rsid w:val="004932F1"/>
    <w:rsid w:val="005F4688"/>
    <w:rsid w:val="00790A77"/>
    <w:rsid w:val="00B717EB"/>
    <w:rsid w:val="00C20314"/>
    <w:rsid w:val="00E93705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3A214"/>
  <w15:chartTrackingRefBased/>
  <w15:docId w15:val="{D1A65D77-ACA6-9D4E-96C1-BBA189CB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705"/>
  </w:style>
  <w:style w:type="character" w:styleId="Hyperlink">
    <w:name w:val="Hyperlink"/>
    <w:basedOn w:val="DefaultParagraphFont"/>
    <w:uiPriority w:val="99"/>
    <w:semiHidden/>
    <w:unhideWhenUsed/>
    <w:rsid w:val="00E93705"/>
    <w:rPr>
      <w:color w:val="0000FF"/>
      <w:u w:val="single"/>
    </w:rPr>
  </w:style>
  <w:style w:type="character" w:customStyle="1" w:styleId="xgmaildefault">
    <w:name w:val="xgmaildefault"/>
    <w:basedOn w:val="DefaultParagraphFont"/>
    <w:rsid w:val="00E9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umd.zoom.us/j/99068849938?pwd=VXQ3K3ZXYmpGWi9rN2lENUFKd1phdz09__;!!IBzWLUs!DQw4nQANtuKcdWLUKX8KSSnIma0pa9_9qnEcPR3gUjrObMP_ygbI2Npnh1EsSx5Mmsw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sam.edu.ar/escuelas/humanidades/cel/" TargetMode="External"/><Relationship Id="rId5" Type="http://schemas.openxmlformats.org/officeDocument/2006/relationships/hyperlink" Target="https://cisepa.pucp.edu.pe/" TargetMode="External"/><Relationship Id="rId4" Type="http://schemas.openxmlformats.org/officeDocument/2006/relationships/hyperlink" Target="http://www.lasc.umd.ed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2</cp:revision>
  <dcterms:created xsi:type="dcterms:W3CDTF">2021-10-06T13:18:00Z</dcterms:created>
  <dcterms:modified xsi:type="dcterms:W3CDTF">2021-10-06T13:18:00Z</dcterms:modified>
</cp:coreProperties>
</file>