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0422E" w:rsidRDefault="00EE6FC4">
      <w:pPr>
        <w:spacing w:line="240" w:lineRule="auto"/>
        <w:ind w:left="90" w:right="1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1914525" cy="7524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1133475" cy="111442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30422E" w:rsidRDefault="0030422E">
      <w:pPr>
        <w:spacing w:line="240" w:lineRule="auto"/>
        <w:ind w:left="90" w:right="1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ytmwkv91tdqq" w:colFirst="0" w:colLast="0"/>
      <w:bookmarkEnd w:id="1"/>
    </w:p>
    <w:p w14:paraId="00000003" w14:textId="77777777" w:rsidR="0030422E" w:rsidRDefault="00EE6FC4">
      <w:pPr>
        <w:keepLines/>
        <w:spacing w:before="240" w:line="2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CONVOCATORIA PARA PONENCIAS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4" w14:textId="77777777" w:rsidR="0030422E" w:rsidRDefault="0030422E">
      <w:pPr>
        <w:keepLines/>
        <w:spacing w:before="240" w:line="2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85491" w14:textId="24771479" w:rsidR="00453240" w:rsidRPr="00453240" w:rsidRDefault="00453240" w:rsidP="0045324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CA"/>
        </w:rPr>
      </w:pPr>
      <w:r w:rsidRPr="0045324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CA"/>
        </w:rPr>
        <w:t xml:space="preserve">The American Association of Teachers of Spanish and Portuguese- </w:t>
      </w:r>
      <w:proofErr w:type="spellStart"/>
      <w:r w:rsidRPr="0045324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CA"/>
        </w:rPr>
        <w:t>Capítulo</w:t>
      </w:r>
      <w:proofErr w:type="spellEnd"/>
      <w:r w:rsidRPr="0045324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CA"/>
        </w:rPr>
        <w:t xml:space="preserve"> Ontario</w:t>
      </w:r>
    </w:p>
    <w:p w14:paraId="00000009" w14:textId="5D75A1E1" w:rsidR="0030422E" w:rsidRPr="00124A54" w:rsidRDefault="00EE6FC4" w:rsidP="00124A54">
      <w:pPr>
        <w:keepLines/>
        <w:spacing w:before="240" w:line="2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CONFERENCIA ANUAL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:</w:t>
      </w:r>
    </w:p>
    <w:p w14:paraId="69001E34" w14:textId="6EAD2177" w:rsidR="00124A54" w:rsidRPr="00124A54" w:rsidRDefault="00124A54" w:rsidP="00124A5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124A54">
        <w:rPr>
          <w:rFonts w:ascii="Times New Roman" w:hAnsi="Times New Roman" w:cs="Times New Roman"/>
          <w:b/>
          <w:bCs/>
          <w:sz w:val="24"/>
          <w:szCs w:val="24"/>
          <w:lang w:val="es-419"/>
        </w:rPr>
        <w:t>La enseñanza de lenguas y literatura en Canadá: diversidad y desafíos</w:t>
      </w:r>
    </w:p>
    <w:p w14:paraId="02E9BEA8" w14:textId="68AE37FF" w:rsidR="00124A54" w:rsidRPr="00124A54" w:rsidRDefault="00124A54" w:rsidP="00124A5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124A54">
        <w:rPr>
          <w:rFonts w:ascii="Times New Roman" w:hAnsi="Times New Roman" w:cs="Times New Roman"/>
          <w:sz w:val="24"/>
          <w:szCs w:val="24"/>
          <w:lang w:val="es-419"/>
        </w:rPr>
        <w:t>En línea: viernes, 22 de octubre de 2021- presentado por la Universidad de Ottawa</w:t>
      </w:r>
    </w:p>
    <w:p w14:paraId="0000000A" w14:textId="075926EC" w:rsidR="0030422E" w:rsidRPr="00124A54" w:rsidRDefault="00EE6FC4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El Capítulo de Ontario de la AATSP (AATSP-ON) invita a participar en su Congreso anual, después de la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cancelación del congreso anual en 2020 debido a la pandemia. El departamento de lenguas y literaturas modernas de la Universidad de Ottawa presenta el evento de este año, que tendrá lugar en línea el </w:t>
      </w: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419"/>
        </w:rPr>
        <w:t>viernes, 22 de octubre de 2021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. El programa del Congres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o girará en torno a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  <w:t>discusiones que buscan expandir los desafíos de enseñar lenguas y literatura en Canadá, reconociendo la diversidad de todas las lenguas que se hablan en el país. Esta orientación está inspirada en el creciente diálogo público enfocado e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  <w:t>n la necesidad de desarrollar una pedagogía más inclusiva y reconocer la diversidad del cuerpo estudiantil. Dichas tendencias nos llevan a reconsiderar cómo organizar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  <w:t xml:space="preserve"> nuestras aulas y replantear nuestro acercamiento a la enseñanza y adquisición de lenguas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  <w:t>.</w:t>
      </w:r>
    </w:p>
    <w:p w14:paraId="0000000B" w14:textId="77777777" w:rsidR="0030422E" w:rsidRPr="00124A54" w:rsidRDefault="00EE6FC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  <w:t>De acuerdo con la temática de 103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vertAlign w:val="superscript"/>
          <w:lang w:val="es-419"/>
        </w:rPr>
        <w:t>a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  <w:t xml:space="preserve"> conferencia anual de AATSP, los temas de la conferencia de nuestro capítulo incluyen (pero no se limitan a) un currículo inclusivo, evaluaciones y credenciales, idiomas y profesiones, idiomas y comunidades, instrucción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  <w:t xml:space="preserve">y aprendizaje de idiomas de herencia, y la promoción del estudio del español y del portugués.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Además de dedicar unos paneles a estos temas, el Congreso incluirá un panel para Investigación y Crítica y otro para Lingüística y Didáctica de ELE/PLE.</w:t>
      </w:r>
    </w:p>
    <w:p w14:paraId="0000000C" w14:textId="77777777" w:rsidR="0030422E" w:rsidRPr="00124A54" w:rsidRDefault="00EE6FC4">
      <w:pPr>
        <w:spacing w:before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Se abre esta convocatoria para que los interesados envíen propuestas de ponencias (20 minutos; 7/8 páginas, Times New </w:t>
      </w:r>
      <w:proofErr w:type="spellStart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Roman</w:t>
      </w:r>
      <w:proofErr w:type="spellEnd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12, doble interlínea) en inglés, francés, español o portugués, que versen sobre los temas que se detallan a continuación dentro del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contexto de la enseñanza de lenguas en Canadá:</w:t>
      </w:r>
    </w:p>
    <w:p w14:paraId="0000000D" w14:textId="77777777" w:rsidR="0030422E" w:rsidRDefault="00EE6FC4">
      <w:pPr>
        <w:spacing w:before="24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Temario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1 –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Innovación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enseñanza</w:t>
      </w:r>
      <w:proofErr w:type="spellEnd"/>
    </w:p>
    <w:p w14:paraId="0000000E" w14:textId="77777777" w:rsidR="0030422E" w:rsidRDefault="00EE6FC4">
      <w:pPr>
        <w:numPr>
          <w:ilvl w:val="0"/>
          <w:numId w:val="3"/>
        </w:numPr>
        <w:spacing w:line="240" w:lineRule="auto"/>
        <w:ind w:left="1080" w:hanging="810"/>
        <w:rPr>
          <w:color w:val="212121"/>
        </w:rPr>
      </w:pPr>
      <w:r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Diversidad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inclusión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0000000F" w14:textId="77777777" w:rsidR="0030422E" w:rsidRPr="00124A54" w:rsidRDefault="00EE6FC4">
      <w:pPr>
        <w:numPr>
          <w:ilvl w:val="0"/>
          <w:numId w:val="3"/>
        </w:numPr>
        <w:spacing w:line="240" w:lineRule="auto"/>
        <w:ind w:left="1080" w:hanging="810"/>
        <w:rPr>
          <w:color w:val="212121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t xml:space="preserve">     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Acercamiento a la enseñanza durante y después de la pandemia</w:t>
      </w:r>
    </w:p>
    <w:p w14:paraId="00000010" w14:textId="77777777" w:rsidR="0030422E" w:rsidRPr="00124A54" w:rsidRDefault="00EE6FC4">
      <w:pPr>
        <w:numPr>
          <w:ilvl w:val="0"/>
          <w:numId w:val="3"/>
        </w:numPr>
        <w:spacing w:line="240" w:lineRule="auto"/>
        <w:ind w:left="1080" w:hanging="810"/>
        <w:rPr>
          <w:color w:val="212121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t xml:space="preserve">     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Nuevos formatos de evaluación y certificación</w:t>
      </w:r>
    </w:p>
    <w:p w14:paraId="00000011" w14:textId="77777777" w:rsidR="0030422E" w:rsidRPr="00124A54" w:rsidRDefault="00EE6FC4">
      <w:pPr>
        <w:numPr>
          <w:ilvl w:val="0"/>
          <w:numId w:val="3"/>
        </w:numPr>
        <w:spacing w:line="240" w:lineRule="auto"/>
        <w:ind w:left="1080" w:hanging="810"/>
        <w:rPr>
          <w:color w:val="212121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t xml:space="preserve">     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Redes sociales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y medios de comunicación en la clase de LE</w:t>
      </w:r>
    </w:p>
    <w:p w14:paraId="00000012" w14:textId="77777777" w:rsidR="0030422E" w:rsidRDefault="00EE6FC4">
      <w:pPr>
        <w:numPr>
          <w:ilvl w:val="0"/>
          <w:numId w:val="3"/>
        </w:numPr>
        <w:spacing w:line="240" w:lineRule="auto"/>
        <w:ind w:left="1080" w:hanging="810"/>
        <w:rPr>
          <w:color w:val="212121"/>
        </w:rPr>
      </w:pPr>
      <w:r w:rsidRPr="00124A54"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Prácticas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emergentes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00000013" w14:textId="77777777" w:rsidR="0030422E" w:rsidRDefault="00EE6FC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Temario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2 –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Crítica</w:t>
      </w:r>
      <w:proofErr w:type="spellEnd"/>
    </w:p>
    <w:p w14:paraId="00000014" w14:textId="77777777" w:rsidR="0030422E" w:rsidRDefault="00EE6FC4">
      <w:pPr>
        <w:numPr>
          <w:ilvl w:val="0"/>
          <w:numId w:val="1"/>
        </w:numPr>
        <w:spacing w:line="240" w:lineRule="auto"/>
        <w:ind w:left="1080" w:hanging="810"/>
        <w:rPr>
          <w:color w:val="212121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Literaturas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indígenas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en las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Américas</w:t>
      </w:r>
      <w:proofErr w:type="spellEnd"/>
    </w:p>
    <w:p w14:paraId="00000015" w14:textId="77777777" w:rsidR="0030422E" w:rsidRDefault="00EE6FC4">
      <w:pPr>
        <w:numPr>
          <w:ilvl w:val="0"/>
          <w:numId w:val="1"/>
        </w:numPr>
        <w:spacing w:line="240" w:lineRule="auto"/>
        <w:ind w:left="1080" w:hanging="810"/>
        <w:rPr>
          <w:color w:val="212121"/>
        </w:rPr>
      </w:pPr>
      <w:r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Literatura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colonial hasta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00000016" w14:textId="77777777" w:rsidR="0030422E" w:rsidRPr="00124A54" w:rsidRDefault="00EE6FC4">
      <w:pPr>
        <w:numPr>
          <w:ilvl w:val="0"/>
          <w:numId w:val="1"/>
        </w:numPr>
        <w:spacing w:line="240" w:lineRule="auto"/>
        <w:ind w:left="1080" w:hanging="810"/>
        <w:rPr>
          <w:color w:val="212121"/>
          <w:lang w:val="es-419"/>
        </w:rPr>
      </w:pPr>
      <w:r w:rsidRPr="00124A54">
        <w:rPr>
          <w:color w:val="212121"/>
          <w:sz w:val="20"/>
          <w:szCs w:val="20"/>
          <w:lang w:val="es-419"/>
        </w:rPr>
        <w:t xml:space="preserve">   </w:t>
      </w:r>
      <w:r w:rsidRPr="00124A54"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t xml:space="preserve"> 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Literatura en traducción, cine, y otros medios de comunicación</w:t>
      </w:r>
    </w:p>
    <w:p w14:paraId="00000017" w14:textId="77777777" w:rsidR="0030422E" w:rsidRDefault="00EE6FC4">
      <w:pPr>
        <w:numPr>
          <w:ilvl w:val="0"/>
          <w:numId w:val="1"/>
        </w:numPr>
        <w:spacing w:line="240" w:lineRule="auto"/>
        <w:ind w:left="1080" w:hanging="810"/>
        <w:rPr>
          <w:color w:val="212121"/>
        </w:rPr>
      </w:pPr>
      <w:r w:rsidRPr="00124A54"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Arquitectura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artes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plásticas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danza,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música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fotografía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cultura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popular</w:t>
      </w:r>
    </w:p>
    <w:p w14:paraId="00000018" w14:textId="77777777" w:rsidR="0030422E" w:rsidRDefault="00EE6FC4">
      <w:pPr>
        <w:numPr>
          <w:ilvl w:val="0"/>
          <w:numId w:val="1"/>
        </w:numPr>
        <w:spacing w:line="240" w:lineRule="auto"/>
        <w:ind w:left="1080" w:hanging="810"/>
        <w:rPr>
          <w:color w:val="212121"/>
        </w:rPr>
      </w:pPr>
      <w:r>
        <w:rPr>
          <w:color w:val="212121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212121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Sociedad civil,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género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migración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diásporas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multiculturalismo</w:t>
      </w:r>
      <w:proofErr w:type="spellEnd"/>
    </w:p>
    <w:p w14:paraId="00000019" w14:textId="77777777" w:rsidR="0030422E" w:rsidRPr="00124A54" w:rsidRDefault="00EE6FC4">
      <w:pPr>
        <w:spacing w:before="24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419"/>
        </w:rPr>
        <w:lastRenderedPageBreak/>
        <w:t>Temario 3 – Lingüística y Didáctica de ELE</w:t>
      </w: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419"/>
        </w:rPr>
        <w:t>/PLE</w:t>
      </w:r>
    </w:p>
    <w:p w14:paraId="0000001A" w14:textId="77777777" w:rsidR="0030422E" w:rsidRPr="00124A54" w:rsidRDefault="0030422E">
      <w:pPr>
        <w:spacing w:line="240" w:lineRule="auto"/>
        <w:ind w:left="1440" w:hanging="360"/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sectPr w:rsidR="0030422E" w:rsidRPr="00124A54">
          <w:pgSz w:w="12240" w:h="15840"/>
          <w:pgMar w:top="810" w:right="1170" w:bottom="1440" w:left="1440" w:header="720" w:footer="720" w:gutter="0"/>
          <w:pgNumType w:start="1"/>
          <w:cols w:space="720"/>
        </w:sectPr>
      </w:pPr>
    </w:p>
    <w:p w14:paraId="0000001B" w14:textId="77777777" w:rsidR="0030422E" w:rsidRDefault="00EE6FC4">
      <w:pPr>
        <w:numPr>
          <w:ilvl w:val="0"/>
          <w:numId w:val="2"/>
        </w:numPr>
        <w:spacing w:line="240" w:lineRule="auto"/>
        <w:ind w:left="180" w:hanging="540"/>
        <w:rPr>
          <w:color w:val="212121"/>
        </w:rPr>
      </w:pPr>
      <w:r w:rsidRPr="00124A54"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Lingüística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políticas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lingüísticas</w:t>
      </w:r>
      <w:proofErr w:type="spellEnd"/>
    </w:p>
    <w:p w14:paraId="0000001C" w14:textId="77777777" w:rsidR="0030422E" w:rsidRDefault="00EE6FC4">
      <w:pPr>
        <w:numPr>
          <w:ilvl w:val="0"/>
          <w:numId w:val="2"/>
        </w:numPr>
        <w:spacing w:line="240" w:lineRule="auto"/>
        <w:ind w:left="180" w:hanging="540"/>
        <w:rPr>
          <w:color w:val="212121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Adquisición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aprendizaje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lengua</w:t>
      </w:r>
      <w:proofErr w:type="spellEnd"/>
    </w:p>
    <w:p w14:paraId="0000001D" w14:textId="77777777" w:rsidR="0030422E" w:rsidRPr="00124A54" w:rsidRDefault="00EE6FC4">
      <w:pPr>
        <w:numPr>
          <w:ilvl w:val="0"/>
          <w:numId w:val="2"/>
        </w:numPr>
        <w:spacing w:line="240" w:lineRule="auto"/>
        <w:ind w:left="180" w:hanging="540"/>
        <w:rPr>
          <w:color w:val="212121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t xml:space="preserve">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Bilingüismo, multilingüismo y lenguas de herencia</w:t>
      </w:r>
    </w:p>
    <w:p w14:paraId="0000001E" w14:textId="77777777" w:rsidR="0030422E" w:rsidRPr="00124A54" w:rsidRDefault="00EE6FC4">
      <w:pPr>
        <w:numPr>
          <w:ilvl w:val="0"/>
          <w:numId w:val="2"/>
        </w:numPr>
        <w:spacing w:line="240" w:lineRule="auto"/>
        <w:ind w:left="180" w:hanging="540"/>
        <w:rPr>
          <w:color w:val="212121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Enseñanza de LE a niños y adultos</w:t>
      </w:r>
    </w:p>
    <w:p w14:paraId="0000001F" w14:textId="77777777" w:rsidR="0030422E" w:rsidRPr="00124A54" w:rsidRDefault="00EE6FC4">
      <w:pPr>
        <w:numPr>
          <w:ilvl w:val="0"/>
          <w:numId w:val="2"/>
        </w:numPr>
        <w:spacing w:line="240" w:lineRule="auto"/>
        <w:ind w:left="1080" w:right="-720" w:hanging="540"/>
        <w:rPr>
          <w:color w:val="212121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Diseño y planificación curricular de LE</w:t>
      </w:r>
    </w:p>
    <w:p w14:paraId="00000020" w14:textId="77777777" w:rsidR="0030422E" w:rsidRDefault="00EE6FC4">
      <w:pPr>
        <w:numPr>
          <w:ilvl w:val="0"/>
          <w:numId w:val="2"/>
        </w:numPr>
        <w:spacing w:line="240" w:lineRule="auto"/>
        <w:ind w:left="1080" w:right="-720" w:hanging="540"/>
        <w:rPr>
          <w:color w:val="212121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Pedagogía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metodología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en LE</w:t>
      </w:r>
    </w:p>
    <w:p w14:paraId="00000021" w14:textId="77777777" w:rsidR="0030422E" w:rsidRPr="00124A54" w:rsidRDefault="00EE6FC4">
      <w:pPr>
        <w:numPr>
          <w:ilvl w:val="0"/>
          <w:numId w:val="2"/>
        </w:numPr>
        <w:spacing w:line="240" w:lineRule="auto"/>
        <w:ind w:left="1080" w:right="-720" w:hanging="540"/>
        <w:rPr>
          <w:color w:val="212121"/>
          <w:lang w:val="es-419"/>
        </w:rPr>
        <w:sectPr w:rsidR="0030422E" w:rsidRPr="00124A54">
          <w:type w:val="continuous"/>
          <w:pgSz w:w="12240" w:h="15840"/>
          <w:pgMar w:top="1440" w:right="1440" w:bottom="1440" w:left="1980" w:header="720" w:footer="720" w:gutter="0"/>
          <w:cols w:num="2" w:space="720" w:equalWidth="0">
            <w:col w:w="4050" w:space="720"/>
            <w:col w:w="4050" w:space="0"/>
          </w:cols>
        </w:sectPr>
      </w:pPr>
      <w:r w:rsidRPr="00124A54">
        <w:rPr>
          <w:rFonts w:ascii="Times New Roman" w:eastAsia="Times New Roman" w:hAnsi="Times New Roman" w:cs="Times New Roman"/>
          <w:color w:val="212121"/>
          <w:sz w:val="14"/>
          <w:szCs w:val="14"/>
          <w:lang w:val="es-419"/>
        </w:rPr>
        <w:t xml:space="preserve">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Literatura y cultura en el aula de LE</w:t>
      </w:r>
    </w:p>
    <w:p w14:paraId="00000022" w14:textId="77777777" w:rsidR="0030422E" w:rsidRPr="00124A54" w:rsidRDefault="0030422E">
      <w:pPr>
        <w:spacing w:line="240" w:lineRule="auto"/>
        <w:ind w:left="1080" w:right="-720" w:hanging="540"/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</w:pPr>
    </w:p>
    <w:p w14:paraId="00000023" w14:textId="77777777" w:rsidR="0030422E" w:rsidRPr="00124A54" w:rsidRDefault="00EE6FC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val="es-419"/>
        </w:rPr>
      </w:pP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val="es-419"/>
        </w:rPr>
        <w:t>INSCRIPCIÓN Y CUOTAS DE PARTICIPACIÓN</w:t>
      </w:r>
    </w:p>
    <w:p w14:paraId="00000024" w14:textId="77777777" w:rsidR="0030422E" w:rsidRPr="00124A54" w:rsidRDefault="00EE6FC4">
      <w:pPr>
        <w:spacing w:before="24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Enviar a </w:t>
      </w:r>
      <w:r w:rsidRPr="00124A54">
        <w:rPr>
          <w:rFonts w:ascii="Times New Roman" w:eastAsia="Times New Roman" w:hAnsi="Times New Roman" w:cs="Times New Roman"/>
          <w:color w:val="386EFF"/>
          <w:sz w:val="24"/>
          <w:szCs w:val="24"/>
          <w:lang w:val="es-419"/>
        </w:rPr>
        <w:t>aatsp.ontario@gmail.com</w:t>
      </w: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una </w:t>
      </w: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419"/>
        </w:rPr>
        <w:t>propuesta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de ponencia en formato Word, con una extensión máxima de 250 palabras, incluyendo el título, el nombre de quien expone y del centro educativo al que pertenece (ver formulario de propuesta), a más tardar el jueves</w:t>
      </w: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419"/>
        </w:rPr>
        <w:t>, 30 de septiembre de 2021 a las 9 a.m.</w:t>
      </w:r>
    </w:p>
    <w:p w14:paraId="00000025" w14:textId="77777777" w:rsidR="0030422E" w:rsidRPr="00124A54" w:rsidRDefault="00EE6FC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419"/>
        </w:rPr>
        <w:t xml:space="preserve"> </w:t>
      </w:r>
    </w:p>
    <w:p w14:paraId="00000026" w14:textId="77777777" w:rsidR="0030422E" w:rsidRPr="00124A54" w:rsidRDefault="00EE6F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</w:pPr>
      <w:r w:rsidRPr="00124A54"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  <w:t>No hay cuota de participación en esta conferencia. Sin embargo, se espera que los participantes sean miembros de la AATSP.</w:t>
      </w: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Información sobre membresía, en el siguiente enlace:                                                                                 </w:t>
      </w: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                                              </w:t>
      </w:r>
      <w:r w:rsidRPr="00124A54"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  <w:t xml:space="preserve"> </w:t>
      </w:r>
      <w:hyperlink r:id="rId7">
        <w:r w:rsidRPr="00124A54">
          <w:rPr>
            <w:rFonts w:ascii="Times New Roman" w:eastAsia="Times New Roman" w:hAnsi="Times New Roman" w:cs="Times New Roman"/>
            <w:sz w:val="24"/>
            <w:szCs w:val="24"/>
            <w:u w:val="single"/>
            <w:lang w:val="es-419"/>
          </w:rPr>
          <w:t xml:space="preserve"> </w:t>
        </w:r>
      </w:hyperlink>
      <w:hyperlink r:id="rId8">
        <w:r w:rsidRPr="00124A5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419"/>
          </w:rPr>
          <w:t>www.aatsp.org/general/register_member_type.asp</w:t>
        </w:r>
      </w:hyperlink>
      <w:r w:rsidRPr="00124A54"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  <w:t xml:space="preserve">  </w:t>
      </w:r>
    </w:p>
    <w:p w14:paraId="00000027" w14:textId="77777777" w:rsidR="0030422E" w:rsidRPr="00124A54" w:rsidRDefault="003042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</w:pPr>
    </w:p>
    <w:p w14:paraId="00000028" w14:textId="77777777" w:rsidR="0030422E" w:rsidRPr="00124A54" w:rsidRDefault="00EE6FC4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val="es-419"/>
        </w:rPr>
        <w:t xml:space="preserve">ELECCIONES </w:t>
      </w:r>
    </w:p>
    <w:p w14:paraId="00000029" w14:textId="77777777" w:rsidR="0030422E" w:rsidRPr="00124A54" w:rsidRDefault="00EE6FC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</w:pPr>
      <w:r w:rsidRPr="00124A54"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  <w:lang w:val="es-419"/>
        </w:rPr>
        <w:t xml:space="preserve">Durante la conferencia de 2021 se llevará a cabo la elección de un </w:t>
      </w:r>
      <w:proofErr w:type="spellStart"/>
      <w:proofErr w:type="gramStart"/>
      <w:r w:rsidRPr="00124A54"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  <w:lang w:val="es-419"/>
        </w:rPr>
        <w:t>vice-presidente</w:t>
      </w:r>
      <w:proofErr w:type="spellEnd"/>
      <w:proofErr w:type="gramEnd"/>
      <w:r w:rsidRPr="00124A54"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  <w:lang w:val="es-419"/>
        </w:rPr>
        <w:t>, un tesorero y un secretario del capítulo.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Se invita a todos los miembros a nominar a colegas o a nominarse a sí mismos para estos puestos hasta el día del congreso.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  <w:t>Los puestos se cubrirán por el periodo de enero 2022 a diciembre de 2023.</w:t>
      </w:r>
    </w:p>
    <w:p w14:paraId="0000002A" w14:textId="77777777" w:rsidR="0030422E" w:rsidRPr="00124A54" w:rsidRDefault="0030422E">
      <w:pPr>
        <w:spacing w:before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419"/>
        </w:rPr>
      </w:pPr>
    </w:p>
    <w:p w14:paraId="0000002B" w14:textId="77777777" w:rsidR="0030422E" w:rsidRPr="00124A54" w:rsidRDefault="00EE6FC4">
      <w:pPr>
        <w:spacing w:before="24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  <w:lang w:val="es-419"/>
        </w:rPr>
        <w:t>¡Nos vemos en octubre!</w:t>
      </w:r>
      <w:r w:rsidRPr="00124A54">
        <w:rPr>
          <w:color w:val="212121"/>
          <w:sz w:val="24"/>
          <w:szCs w:val="24"/>
          <w:highlight w:val="white"/>
          <w:lang w:val="es-419"/>
        </w:rPr>
        <w:t xml:space="preserve"> </w:t>
      </w: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>Para más información, visita:</w:t>
      </w:r>
      <w:hyperlink r:id="rId9">
        <w:r w:rsidRPr="00124A54">
          <w:rPr>
            <w:rFonts w:ascii="Times New Roman" w:eastAsia="Times New Roman" w:hAnsi="Times New Roman" w:cs="Times New Roman"/>
            <w:sz w:val="24"/>
            <w:szCs w:val="24"/>
            <w:lang w:val="es-419"/>
          </w:rPr>
          <w:t xml:space="preserve"> </w:t>
        </w:r>
      </w:hyperlink>
      <w:hyperlink r:id="rId10">
        <w:r w:rsidRPr="00124A5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419"/>
          </w:rPr>
          <w:t>https://aatspontario.ca/</w:t>
        </w:r>
      </w:hyperlink>
    </w:p>
    <w:p w14:paraId="0000002C" w14:textId="77777777" w:rsidR="0030422E" w:rsidRPr="00124A54" w:rsidRDefault="00EE6FC4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</w:p>
    <w:p w14:paraId="0000002D" w14:textId="77777777" w:rsidR="0030422E" w:rsidRPr="00124A54" w:rsidRDefault="00EE6FC4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val="es-419"/>
        </w:rPr>
        <w:t>COMITÉ ORGANI</w:t>
      </w:r>
      <w:r w:rsidRPr="00124A54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val="es-419"/>
        </w:rPr>
        <w:t>ZADOR</w:t>
      </w:r>
    </w:p>
    <w:p w14:paraId="0000002E" w14:textId="77777777" w:rsidR="0030422E" w:rsidRPr="00124A54" w:rsidRDefault="00EE6FC4">
      <w:pPr>
        <w:spacing w:before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Adriana Kolijn, </w:t>
      </w:r>
      <w:proofErr w:type="gramStart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Presidenta</w:t>
      </w:r>
      <w:proofErr w:type="gramEnd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, Universidad de Ottawa, akolijn@uottawa.ca</w:t>
      </w:r>
    </w:p>
    <w:p w14:paraId="0000002F" w14:textId="77777777" w:rsidR="0030422E" w:rsidRPr="00124A54" w:rsidRDefault="00EE6FC4">
      <w:pPr>
        <w:spacing w:before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Dra. Ana García-Allen, </w:t>
      </w:r>
      <w:proofErr w:type="spellStart"/>
      <w:proofErr w:type="gramStart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Vice-presidenta</w:t>
      </w:r>
      <w:proofErr w:type="spellEnd"/>
      <w:proofErr w:type="gramEnd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, Universidad de Western Ontario, agarcia@uwo.ca</w:t>
      </w:r>
    </w:p>
    <w:p w14:paraId="00000030" w14:textId="77777777" w:rsidR="0030422E" w:rsidRPr="00124A54" w:rsidRDefault="00EE6FC4">
      <w:pPr>
        <w:spacing w:before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Jesse Leonard, </w:t>
      </w:r>
      <w:proofErr w:type="gramStart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Secretario</w:t>
      </w:r>
      <w:proofErr w:type="gramEnd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, Universidad de Ottawa, jleon025@uottawa.ca</w:t>
      </w:r>
    </w:p>
    <w:p w14:paraId="00000031" w14:textId="77777777" w:rsidR="0030422E" w:rsidRPr="00124A54" w:rsidRDefault="00EE6FC4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Dra. May </w:t>
      </w:r>
      <w:proofErr w:type="spellStart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Morpaw</w:t>
      </w:r>
      <w:proofErr w:type="spellEnd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, </w:t>
      </w: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tesorera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interina</w:t>
      </w: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, </w:t>
      </w: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Universidad de Ottawa, </w:t>
      </w:r>
      <w:r w:rsidRPr="00124A54">
        <w:rPr>
          <w:rFonts w:ascii="Times New Roman" w:eastAsia="Times New Roman" w:hAnsi="Times New Roman" w:cs="Times New Roman"/>
          <w:sz w:val="24"/>
          <w:szCs w:val="24"/>
          <w:lang w:val="es-419"/>
        </w:rPr>
        <w:t>mmorp034@uottawa.ca</w:t>
      </w:r>
    </w:p>
    <w:p w14:paraId="00000032" w14:textId="77777777" w:rsidR="0030422E" w:rsidRPr="00124A54" w:rsidRDefault="00EE6FC4">
      <w:pPr>
        <w:spacing w:before="240" w:line="240" w:lineRule="auto"/>
        <w:rPr>
          <w:lang w:val="es-419"/>
        </w:rPr>
      </w:pPr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Dra. </w:t>
      </w:r>
      <w:proofErr w:type="spellStart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Annik</w:t>
      </w:r>
      <w:proofErr w:type="spellEnd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</w:t>
      </w:r>
      <w:proofErr w:type="spellStart"/>
      <w:proofErr w:type="gramStart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Bilodeau</w:t>
      </w:r>
      <w:proofErr w:type="spellEnd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>,  expresidenta</w:t>
      </w:r>
      <w:proofErr w:type="gramEnd"/>
      <w:r w:rsidRPr="00124A54">
        <w:rPr>
          <w:rFonts w:ascii="Times New Roman" w:eastAsia="Times New Roman" w:hAnsi="Times New Roman" w:cs="Times New Roman"/>
          <w:color w:val="212121"/>
          <w:sz w:val="24"/>
          <w:szCs w:val="24"/>
          <w:lang w:val="es-419"/>
        </w:rPr>
        <w:t xml:space="preserve"> más reciente, Universidad de Waterloo, a2bilodeau@uwaterloo.ca</w:t>
      </w:r>
    </w:p>
    <w:p w14:paraId="00000033" w14:textId="77777777" w:rsidR="0030422E" w:rsidRPr="00124A54" w:rsidRDefault="0030422E">
      <w:pPr>
        <w:rPr>
          <w:lang w:val="es-419"/>
        </w:rPr>
      </w:pPr>
    </w:p>
    <w:sectPr w:rsidR="0030422E" w:rsidRPr="00124A5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D45"/>
    <w:multiLevelType w:val="multilevel"/>
    <w:tmpl w:val="8D6842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B926D65"/>
    <w:multiLevelType w:val="multilevel"/>
    <w:tmpl w:val="3160B0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E7811CA"/>
    <w:multiLevelType w:val="multilevel"/>
    <w:tmpl w:val="5CA822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2E"/>
    <w:rsid w:val="00124A54"/>
    <w:rsid w:val="0030422E"/>
    <w:rsid w:val="00453240"/>
    <w:rsid w:val="00E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6275"/>
  <w15:docId w15:val="{1C727A72-2C22-4728-92B7-433E09EE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124A5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tsp.org/general/register_member_type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atsp.org/general/register_member_type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atspontario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tspontario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Kolijn</cp:lastModifiedBy>
  <cp:revision>4</cp:revision>
  <dcterms:created xsi:type="dcterms:W3CDTF">2021-07-06T13:14:00Z</dcterms:created>
  <dcterms:modified xsi:type="dcterms:W3CDTF">2021-07-06T13:20:00Z</dcterms:modified>
</cp:coreProperties>
</file>