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4B7853" w14:textId="77777777" w:rsidR="00687E03" w:rsidRDefault="00687E03" w:rsidP="00213081">
      <w:pPr>
        <w:rPr>
          <w:rFonts w:cs="Times New Roman"/>
          <w:sz w:val="24"/>
          <w:szCs w:val="24"/>
        </w:rPr>
      </w:pPr>
      <w:r>
        <w:rPr>
          <w:noProof/>
          <w:lang w:val="en-CA" w:eastAsia="en-CA"/>
        </w:rPr>
        <w:drawing>
          <wp:inline distT="0" distB="0" distL="0" distR="0" wp14:anchorId="02E2E6B6" wp14:editId="55B973D0">
            <wp:extent cx="1289050" cy="349250"/>
            <wp:effectExtent l="0" t="0" r="6350" b="0"/>
            <wp:docPr id="1" name="Picture 1" descr="Description: uofm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uofm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89050" cy="349250"/>
                    </a:xfrm>
                    <a:prstGeom prst="rect">
                      <a:avLst/>
                    </a:prstGeom>
                    <a:noFill/>
                    <a:ln>
                      <a:noFill/>
                    </a:ln>
                  </pic:spPr>
                </pic:pic>
              </a:graphicData>
            </a:graphic>
          </wp:inline>
        </w:drawing>
      </w:r>
    </w:p>
    <w:p w14:paraId="2853FE3E" w14:textId="77777777" w:rsidR="000D0A69" w:rsidRPr="002A03C2" w:rsidRDefault="00687E03" w:rsidP="00357B8A">
      <w:pPr>
        <w:jc w:val="center"/>
        <w:rPr>
          <w:rFonts w:ascii="Arial" w:hAnsi="Arial" w:cs="Arial"/>
          <w:b/>
          <w:sz w:val="28"/>
          <w:szCs w:val="28"/>
        </w:rPr>
      </w:pPr>
      <w:r w:rsidRPr="002A03C2">
        <w:rPr>
          <w:rFonts w:ascii="Arial" w:hAnsi="Arial" w:cs="Arial"/>
          <w:b/>
          <w:sz w:val="28"/>
          <w:szCs w:val="28"/>
        </w:rPr>
        <w:t>UNIVERSITY OF MANITOBA</w:t>
      </w:r>
    </w:p>
    <w:p w14:paraId="394D6531" w14:textId="77777777" w:rsidR="00687E03" w:rsidRPr="002A03C2" w:rsidRDefault="00687E03" w:rsidP="00357B8A">
      <w:pPr>
        <w:jc w:val="center"/>
        <w:rPr>
          <w:rFonts w:ascii="Arial" w:hAnsi="Arial" w:cs="Arial"/>
          <w:b/>
          <w:sz w:val="32"/>
          <w:szCs w:val="32"/>
        </w:rPr>
      </w:pPr>
      <w:r w:rsidRPr="002A03C2">
        <w:rPr>
          <w:rFonts w:ascii="Arial" w:hAnsi="Arial" w:cs="Arial"/>
          <w:b/>
          <w:sz w:val="32"/>
          <w:szCs w:val="32"/>
        </w:rPr>
        <w:t>PROCEDURE</w:t>
      </w:r>
    </w:p>
    <w:p w14:paraId="692FEC61" w14:textId="77777777" w:rsidR="00022E0C" w:rsidRPr="002A03C2" w:rsidRDefault="00022E0C" w:rsidP="00357B8A">
      <w:pPr>
        <w:jc w:val="center"/>
        <w:rPr>
          <w:rFonts w:ascii="Arial" w:hAnsi="Arial" w:cs="Arial"/>
          <w:b/>
          <w:sz w:val="32"/>
          <w:szCs w:val="32"/>
        </w:rPr>
      </w:pPr>
    </w:p>
    <w:tbl>
      <w:tblPr>
        <w:tblStyle w:val="LightGrid"/>
        <w:tblW w:w="0" w:type="auto"/>
        <w:tblLook w:val="06A0" w:firstRow="1" w:lastRow="0" w:firstColumn="1" w:lastColumn="0" w:noHBand="1" w:noVBand="1"/>
      </w:tblPr>
      <w:tblGrid>
        <w:gridCol w:w="3107"/>
        <w:gridCol w:w="6233"/>
      </w:tblGrid>
      <w:tr w:rsidR="00952CFE" w:rsidRPr="00D72DEB" w14:paraId="7719833C" w14:textId="77777777" w:rsidTr="00AF76F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68" w:type="dxa"/>
          </w:tcPr>
          <w:p w14:paraId="6E8C2E6F" w14:textId="77777777" w:rsidR="00952CFE" w:rsidRPr="00D72DEB" w:rsidRDefault="00952CFE" w:rsidP="009B0E4E">
            <w:pPr>
              <w:spacing w:before="60" w:after="60"/>
              <w:rPr>
                <w:rFonts w:ascii="Arial" w:hAnsi="Arial" w:cs="Arial"/>
              </w:rPr>
            </w:pPr>
            <w:r w:rsidRPr="00D72DEB">
              <w:rPr>
                <w:rFonts w:ascii="Arial" w:hAnsi="Arial" w:cs="Arial"/>
              </w:rPr>
              <w:t>Procedure:</w:t>
            </w:r>
          </w:p>
        </w:tc>
        <w:tc>
          <w:tcPr>
            <w:tcW w:w="6390" w:type="dxa"/>
            <w:vAlign w:val="center"/>
          </w:tcPr>
          <w:p w14:paraId="12DE596E" w14:textId="77777777" w:rsidR="00952CFE" w:rsidRPr="00D72DEB" w:rsidRDefault="00D70808" w:rsidP="00AF76FA">
            <w:pPr>
              <w:spacing w:before="60" w:after="60"/>
              <w:jc w:val="left"/>
              <w:cnfStyle w:val="100000000000" w:firstRow="1" w:lastRow="0" w:firstColumn="0" w:lastColumn="0" w:oddVBand="0" w:evenVBand="0" w:oddHBand="0" w:evenHBand="0" w:firstRowFirstColumn="0" w:firstRowLastColumn="0" w:lastRowFirstColumn="0" w:lastRowLastColumn="0"/>
              <w:rPr>
                <w:rFonts w:ascii="Arial" w:hAnsi="Arial" w:cs="Arial"/>
              </w:rPr>
            </w:pPr>
            <w:r w:rsidRPr="00D72DEB">
              <w:rPr>
                <w:rFonts w:ascii="Arial" w:hAnsi="Arial" w:cs="Arial"/>
              </w:rPr>
              <w:t>CHAIRS AND PROFESSORSHIPS</w:t>
            </w:r>
          </w:p>
        </w:tc>
      </w:tr>
      <w:tr w:rsidR="00952CFE" w:rsidRPr="00D72DEB" w14:paraId="4CB50E49" w14:textId="77777777" w:rsidTr="00AF76FA">
        <w:tc>
          <w:tcPr>
            <w:cnfStyle w:val="001000000000" w:firstRow="0" w:lastRow="0" w:firstColumn="1" w:lastColumn="0" w:oddVBand="0" w:evenVBand="0" w:oddHBand="0" w:evenHBand="0" w:firstRowFirstColumn="0" w:firstRowLastColumn="0" w:lastRowFirstColumn="0" w:lastRowLastColumn="0"/>
            <w:tcW w:w="3168" w:type="dxa"/>
          </w:tcPr>
          <w:p w14:paraId="28CC906E" w14:textId="77777777" w:rsidR="00952CFE" w:rsidRPr="00D72DEB" w:rsidRDefault="00952CFE" w:rsidP="009B0E4E">
            <w:pPr>
              <w:spacing w:before="60" w:after="60"/>
              <w:rPr>
                <w:rFonts w:ascii="Arial" w:hAnsi="Arial" w:cs="Arial"/>
              </w:rPr>
            </w:pPr>
            <w:r w:rsidRPr="00D72DEB">
              <w:rPr>
                <w:rFonts w:ascii="Arial" w:hAnsi="Arial" w:cs="Arial"/>
              </w:rPr>
              <w:t>Parent Policy:</w:t>
            </w:r>
          </w:p>
        </w:tc>
        <w:tc>
          <w:tcPr>
            <w:tcW w:w="6390" w:type="dxa"/>
            <w:vAlign w:val="center"/>
          </w:tcPr>
          <w:p w14:paraId="4ACD9AB6" w14:textId="77777777" w:rsidR="00952CFE" w:rsidRPr="00D72DEB" w:rsidRDefault="00D70808" w:rsidP="00AF76FA">
            <w:pPr>
              <w:spacing w:before="60" w:after="60"/>
              <w:jc w:val="left"/>
              <w:cnfStyle w:val="000000000000" w:firstRow="0" w:lastRow="0" w:firstColumn="0" w:lastColumn="0" w:oddVBand="0" w:evenVBand="0" w:oddHBand="0" w:evenHBand="0" w:firstRowFirstColumn="0" w:firstRowLastColumn="0" w:lastRowFirstColumn="0" w:lastRowLastColumn="0"/>
              <w:rPr>
                <w:rFonts w:ascii="Arial" w:hAnsi="Arial" w:cs="Arial"/>
              </w:rPr>
            </w:pPr>
            <w:r w:rsidRPr="00D72DEB">
              <w:rPr>
                <w:rFonts w:ascii="Arial" w:hAnsi="Arial" w:cs="Arial"/>
              </w:rPr>
              <w:t>Chairs and Professorships</w:t>
            </w:r>
          </w:p>
        </w:tc>
      </w:tr>
      <w:tr w:rsidR="00952CFE" w:rsidRPr="00D72DEB" w14:paraId="7311A372" w14:textId="77777777" w:rsidTr="00AF76FA">
        <w:tc>
          <w:tcPr>
            <w:cnfStyle w:val="001000000000" w:firstRow="0" w:lastRow="0" w:firstColumn="1" w:lastColumn="0" w:oddVBand="0" w:evenVBand="0" w:oddHBand="0" w:evenHBand="0" w:firstRowFirstColumn="0" w:firstRowLastColumn="0" w:lastRowFirstColumn="0" w:lastRowLastColumn="0"/>
            <w:tcW w:w="3168" w:type="dxa"/>
          </w:tcPr>
          <w:p w14:paraId="58F1DC03" w14:textId="77777777" w:rsidR="00952CFE" w:rsidRPr="00D72DEB" w:rsidRDefault="00952CFE" w:rsidP="009B0E4E">
            <w:pPr>
              <w:spacing w:before="60" w:after="60"/>
              <w:rPr>
                <w:rFonts w:ascii="Arial" w:hAnsi="Arial" w:cs="Arial"/>
              </w:rPr>
            </w:pPr>
            <w:r w:rsidRPr="00D72DEB">
              <w:rPr>
                <w:rFonts w:ascii="Arial" w:hAnsi="Arial" w:cs="Arial"/>
              </w:rPr>
              <w:t>Effective Date:</w:t>
            </w:r>
          </w:p>
        </w:tc>
        <w:tc>
          <w:tcPr>
            <w:tcW w:w="6390" w:type="dxa"/>
            <w:vAlign w:val="center"/>
          </w:tcPr>
          <w:p w14:paraId="51924298" w14:textId="77777777" w:rsidR="00952CFE" w:rsidRPr="00D72DEB" w:rsidRDefault="00036F2D" w:rsidP="00AF76FA">
            <w:pPr>
              <w:spacing w:before="60" w:after="60"/>
              <w:jc w:val="left"/>
              <w:cnfStyle w:val="000000000000" w:firstRow="0" w:lastRow="0" w:firstColumn="0" w:lastColumn="0" w:oddVBand="0" w:evenVBand="0" w:oddHBand="0" w:evenHBand="0" w:firstRowFirstColumn="0" w:firstRowLastColumn="0" w:lastRowFirstColumn="0" w:lastRowLastColumn="0"/>
              <w:rPr>
                <w:rFonts w:ascii="Arial" w:hAnsi="Arial" w:cs="Arial"/>
              </w:rPr>
            </w:pPr>
            <w:r w:rsidRPr="00D72DEB">
              <w:rPr>
                <w:rFonts w:ascii="Arial" w:hAnsi="Arial" w:cs="Arial"/>
              </w:rPr>
              <w:t>January 27, 2009</w:t>
            </w:r>
          </w:p>
        </w:tc>
      </w:tr>
      <w:tr w:rsidR="00952CFE" w:rsidRPr="00D72DEB" w14:paraId="496ED158" w14:textId="77777777" w:rsidTr="00AF76FA">
        <w:tc>
          <w:tcPr>
            <w:cnfStyle w:val="001000000000" w:firstRow="0" w:lastRow="0" w:firstColumn="1" w:lastColumn="0" w:oddVBand="0" w:evenVBand="0" w:oddHBand="0" w:evenHBand="0" w:firstRowFirstColumn="0" w:firstRowLastColumn="0" w:lastRowFirstColumn="0" w:lastRowLastColumn="0"/>
            <w:tcW w:w="3168" w:type="dxa"/>
          </w:tcPr>
          <w:p w14:paraId="06B851A4" w14:textId="77777777" w:rsidR="00952CFE" w:rsidRPr="00D72DEB" w:rsidRDefault="00952CFE" w:rsidP="009B0E4E">
            <w:pPr>
              <w:spacing w:before="60" w:after="60"/>
              <w:rPr>
                <w:rFonts w:ascii="Arial" w:hAnsi="Arial" w:cs="Arial"/>
              </w:rPr>
            </w:pPr>
            <w:r w:rsidRPr="00D72DEB">
              <w:rPr>
                <w:rFonts w:ascii="Arial" w:hAnsi="Arial" w:cs="Arial"/>
              </w:rPr>
              <w:t>Revised Date:</w:t>
            </w:r>
          </w:p>
        </w:tc>
        <w:tc>
          <w:tcPr>
            <w:tcW w:w="6390" w:type="dxa"/>
            <w:vAlign w:val="center"/>
          </w:tcPr>
          <w:p w14:paraId="6820B28E" w14:textId="7C98BDD5" w:rsidR="00952CFE" w:rsidRPr="00D72DEB" w:rsidRDefault="00AF76FA" w:rsidP="00AF76FA">
            <w:pPr>
              <w:spacing w:before="60" w:after="60"/>
              <w:jc w:val="left"/>
              <w:cnfStyle w:val="000000000000" w:firstRow="0" w:lastRow="0" w:firstColumn="0" w:lastColumn="0" w:oddVBand="0" w:evenVBand="0" w:oddHBand="0" w:evenHBand="0" w:firstRowFirstColumn="0" w:firstRowLastColumn="0" w:lastRowFirstColumn="0" w:lastRowLastColumn="0"/>
              <w:rPr>
                <w:rFonts w:ascii="Arial" w:hAnsi="Arial" w:cs="Arial"/>
              </w:rPr>
            </w:pPr>
            <w:r w:rsidRPr="00D72DEB">
              <w:rPr>
                <w:rFonts w:ascii="Arial" w:hAnsi="Arial" w:cs="Arial"/>
              </w:rPr>
              <w:t xml:space="preserve">November </w:t>
            </w:r>
            <w:proofErr w:type="gramStart"/>
            <w:r w:rsidRPr="00D72DEB">
              <w:rPr>
                <w:rFonts w:ascii="Arial" w:hAnsi="Arial" w:cs="Arial"/>
              </w:rPr>
              <w:t xml:space="preserve">25, </w:t>
            </w:r>
            <w:r w:rsidR="004F50FE">
              <w:rPr>
                <w:rFonts w:ascii="Arial" w:hAnsi="Arial" w:cs="Arial"/>
              </w:rPr>
              <w:t xml:space="preserve"> 2022</w:t>
            </w:r>
            <w:proofErr w:type="gramEnd"/>
          </w:p>
        </w:tc>
      </w:tr>
      <w:tr w:rsidR="00952CFE" w:rsidRPr="00D72DEB" w14:paraId="1FA81CC0" w14:textId="77777777" w:rsidTr="00AF76FA">
        <w:tc>
          <w:tcPr>
            <w:cnfStyle w:val="001000000000" w:firstRow="0" w:lastRow="0" w:firstColumn="1" w:lastColumn="0" w:oddVBand="0" w:evenVBand="0" w:oddHBand="0" w:evenHBand="0" w:firstRowFirstColumn="0" w:firstRowLastColumn="0" w:lastRowFirstColumn="0" w:lastRowLastColumn="0"/>
            <w:tcW w:w="3168" w:type="dxa"/>
          </w:tcPr>
          <w:p w14:paraId="3B61FC0E" w14:textId="77777777" w:rsidR="00952CFE" w:rsidRPr="00D72DEB" w:rsidRDefault="00952CFE" w:rsidP="009B0E4E">
            <w:pPr>
              <w:spacing w:before="60" w:after="60"/>
              <w:rPr>
                <w:rFonts w:ascii="Arial" w:hAnsi="Arial" w:cs="Arial"/>
              </w:rPr>
            </w:pPr>
            <w:r w:rsidRPr="00D72DEB">
              <w:rPr>
                <w:rFonts w:ascii="Arial" w:hAnsi="Arial" w:cs="Arial"/>
              </w:rPr>
              <w:t>Review Date:</w:t>
            </w:r>
          </w:p>
        </w:tc>
        <w:tc>
          <w:tcPr>
            <w:tcW w:w="6390" w:type="dxa"/>
            <w:vAlign w:val="center"/>
          </w:tcPr>
          <w:p w14:paraId="390F6BD2" w14:textId="77777777" w:rsidR="00952CFE" w:rsidRPr="00D72DEB" w:rsidRDefault="001954E4" w:rsidP="00AF76FA">
            <w:pPr>
              <w:spacing w:before="60" w:after="60"/>
              <w:jc w:val="left"/>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November 25, 2024</w:t>
            </w:r>
          </w:p>
        </w:tc>
      </w:tr>
      <w:tr w:rsidR="00952CFE" w:rsidRPr="00D72DEB" w14:paraId="63F5C217" w14:textId="77777777" w:rsidTr="00AF76FA">
        <w:trPr>
          <w:trHeight w:val="233"/>
        </w:trPr>
        <w:tc>
          <w:tcPr>
            <w:cnfStyle w:val="001000000000" w:firstRow="0" w:lastRow="0" w:firstColumn="1" w:lastColumn="0" w:oddVBand="0" w:evenVBand="0" w:oddHBand="0" w:evenHBand="0" w:firstRowFirstColumn="0" w:firstRowLastColumn="0" w:lastRowFirstColumn="0" w:lastRowLastColumn="0"/>
            <w:tcW w:w="3168" w:type="dxa"/>
          </w:tcPr>
          <w:p w14:paraId="0F63B3D7" w14:textId="77777777" w:rsidR="00952CFE" w:rsidRPr="00D72DEB" w:rsidRDefault="00952CFE" w:rsidP="009B0E4E">
            <w:pPr>
              <w:spacing w:before="60" w:after="60"/>
              <w:rPr>
                <w:rFonts w:ascii="Arial" w:hAnsi="Arial" w:cs="Arial"/>
              </w:rPr>
            </w:pPr>
            <w:r w:rsidRPr="00D72DEB">
              <w:rPr>
                <w:rFonts w:ascii="Arial" w:hAnsi="Arial" w:cs="Arial"/>
              </w:rPr>
              <w:t>Approving Body:</w:t>
            </w:r>
          </w:p>
        </w:tc>
        <w:tc>
          <w:tcPr>
            <w:tcW w:w="6390" w:type="dxa"/>
            <w:vAlign w:val="center"/>
          </w:tcPr>
          <w:p w14:paraId="7EF6FA85" w14:textId="77777777" w:rsidR="00952CFE" w:rsidRPr="00D72DEB" w:rsidRDefault="00D70808" w:rsidP="00AF76FA">
            <w:pPr>
              <w:spacing w:before="60" w:after="60"/>
              <w:jc w:val="left"/>
              <w:cnfStyle w:val="000000000000" w:firstRow="0" w:lastRow="0" w:firstColumn="0" w:lastColumn="0" w:oddVBand="0" w:evenVBand="0" w:oddHBand="0" w:evenHBand="0" w:firstRowFirstColumn="0" w:firstRowLastColumn="0" w:lastRowFirstColumn="0" w:lastRowLastColumn="0"/>
              <w:rPr>
                <w:rFonts w:ascii="Arial" w:hAnsi="Arial" w:cs="Arial"/>
              </w:rPr>
            </w:pPr>
            <w:r w:rsidRPr="00D72DEB">
              <w:rPr>
                <w:rFonts w:ascii="Arial" w:hAnsi="Arial" w:cs="Arial"/>
              </w:rPr>
              <w:t>President</w:t>
            </w:r>
          </w:p>
        </w:tc>
      </w:tr>
      <w:tr w:rsidR="00952CFE" w:rsidRPr="00D72DEB" w14:paraId="77437A74" w14:textId="77777777" w:rsidTr="00AF76FA">
        <w:trPr>
          <w:trHeight w:val="233"/>
        </w:trPr>
        <w:tc>
          <w:tcPr>
            <w:cnfStyle w:val="001000000000" w:firstRow="0" w:lastRow="0" w:firstColumn="1" w:lastColumn="0" w:oddVBand="0" w:evenVBand="0" w:oddHBand="0" w:evenHBand="0" w:firstRowFirstColumn="0" w:firstRowLastColumn="0" w:lastRowFirstColumn="0" w:lastRowLastColumn="0"/>
            <w:tcW w:w="3168" w:type="dxa"/>
          </w:tcPr>
          <w:p w14:paraId="6623DD45" w14:textId="77777777" w:rsidR="00952CFE" w:rsidRPr="00D72DEB" w:rsidRDefault="00952CFE" w:rsidP="009B0E4E">
            <w:pPr>
              <w:spacing w:before="60" w:after="60"/>
              <w:rPr>
                <w:rFonts w:ascii="Arial" w:hAnsi="Arial" w:cs="Arial"/>
              </w:rPr>
            </w:pPr>
            <w:r w:rsidRPr="00D72DEB">
              <w:rPr>
                <w:rFonts w:ascii="Arial" w:hAnsi="Arial" w:cs="Arial"/>
              </w:rPr>
              <w:t>Authority:</w:t>
            </w:r>
          </w:p>
        </w:tc>
        <w:tc>
          <w:tcPr>
            <w:tcW w:w="6390" w:type="dxa"/>
            <w:vAlign w:val="center"/>
          </w:tcPr>
          <w:p w14:paraId="08EC9602" w14:textId="77777777" w:rsidR="00952CFE" w:rsidRPr="00D72DEB" w:rsidRDefault="00D70808" w:rsidP="00AF76FA">
            <w:pPr>
              <w:spacing w:before="60" w:after="60"/>
              <w:jc w:val="left"/>
              <w:cnfStyle w:val="000000000000" w:firstRow="0" w:lastRow="0" w:firstColumn="0" w:lastColumn="0" w:oddVBand="0" w:evenVBand="0" w:oddHBand="0" w:evenHBand="0" w:firstRowFirstColumn="0" w:firstRowLastColumn="0" w:lastRowFirstColumn="0" w:lastRowLastColumn="0"/>
              <w:rPr>
                <w:rFonts w:ascii="Arial" w:hAnsi="Arial" w:cs="Arial"/>
              </w:rPr>
            </w:pPr>
            <w:r w:rsidRPr="00D72DEB">
              <w:rPr>
                <w:rFonts w:ascii="Arial" w:hAnsi="Arial" w:cs="Arial"/>
              </w:rPr>
              <w:t>Chairs and Professorship</w:t>
            </w:r>
            <w:r w:rsidR="00F5466A" w:rsidRPr="00D72DEB">
              <w:rPr>
                <w:rFonts w:ascii="Arial" w:hAnsi="Arial" w:cs="Arial"/>
              </w:rPr>
              <w:t>s</w:t>
            </w:r>
            <w:r w:rsidR="00E83100" w:rsidRPr="00D72DEB">
              <w:rPr>
                <w:rFonts w:ascii="Arial" w:hAnsi="Arial" w:cs="Arial"/>
              </w:rPr>
              <w:t xml:space="preserve"> Policy</w:t>
            </w:r>
          </w:p>
        </w:tc>
      </w:tr>
      <w:tr w:rsidR="00952CFE" w:rsidRPr="00D72DEB" w14:paraId="350BA88E" w14:textId="77777777" w:rsidTr="00AF76FA">
        <w:trPr>
          <w:trHeight w:val="233"/>
        </w:trPr>
        <w:tc>
          <w:tcPr>
            <w:cnfStyle w:val="001000000000" w:firstRow="0" w:lastRow="0" w:firstColumn="1" w:lastColumn="0" w:oddVBand="0" w:evenVBand="0" w:oddHBand="0" w:evenHBand="0" w:firstRowFirstColumn="0" w:firstRowLastColumn="0" w:lastRowFirstColumn="0" w:lastRowLastColumn="0"/>
            <w:tcW w:w="3168" w:type="dxa"/>
          </w:tcPr>
          <w:p w14:paraId="72BDA907" w14:textId="77777777" w:rsidR="00952CFE" w:rsidRPr="00D72DEB" w:rsidRDefault="00952CFE" w:rsidP="009B0E4E">
            <w:pPr>
              <w:spacing w:before="60" w:after="60"/>
              <w:rPr>
                <w:rFonts w:ascii="Arial" w:hAnsi="Arial" w:cs="Arial"/>
              </w:rPr>
            </w:pPr>
            <w:r w:rsidRPr="00D72DEB">
              <w:rPr>
                <w:rFonts w:ascii="Arial" w:hAnsi="Arial" w:cs="Arial"/>
              </w:rPr>
              <w:t>Responsible Executive Officer:</w:t>
            </w:r>
          </w:p>
        </w:tc>
        <w:tc>
          <w:tcPr>
            <w:tcW w:w="6390" w:type="dxa"/>
            <w:vAlign w:val="center"/>
          </w:tcPr>
          <w:p w14:paraId="710A592B" w14:textId="77777777" w:rsidR="00952CFE" w:rsidRPr="00D72DEB" w:rsidRDefault="00D70808" w:rsidP="00AF76FA">
            <w:pPr>
              <w:spacing w:before="60" w:after="60"/>
              <w:jc w:val="left"/>
              <w:cnfStyle w:val="000000000000" w:firstRow="0" w:lastRow="0" w:firstColumn="0" w:lastColumn="0" w:oddVBand="0" w:evenVBand="0" w:oddHBand="0" w:evenHBand="0" w:firstRowFirstColumn="0" w:firstRowLastColumn="0" w:lastRowFirstColumn="0" w:lastRowLastColumn="0"/>
              <w:rPr>
                <w:rFonts w:ascii="Arial" w:hAnsi="Arial" w:cs="Arial"/>
              </w:rPr>
            </w:pPr>
            <w:r w:rsidRPr="00D72DEB">
              <w:rPr>
                <w:rFonts w:ascii="Arial" w:hAnsi="Arial" w:cs="Arial"/>
              </w:rPr>
              <w:t>President</w:t>
            </w:r>
          </w:p>
        </w:tc>
      </w:tr>
      <w:tr w:rsidR="00952CFE" w:rsidRPr="00D72DEB" w14:paraId="107DCDB3" w14:textId="77777777" w:rsidTr="00AF76FA">
        <w:trPr>
          <w:trHeight w:val="233"/>
        </w:trPr>
        <w:tc>
          <w:tcPr>
            <w:cnfStyle w:val="001000000000" w:firstRow="0" w:lastRow="0" w:firstColumn="1" w:lastColumn="0" w:oddVBand="0" w:evenVBand="0" w:oddHBand="0" w:evenHBand="0" w:firstRowFirstColumn="0" w:firstRowLastColumn="0" w:lastRowFirstColumn="0" w:lastRowLastColumn="0"/>
            <w:tcW w:w="3168" w:type="dxa"/>
          </w:tcPr>
          <w:p w14:paraId="1B4E12A6" w14:textId="77777777" w:rsidR="00952CFE" w:rsidRPr="00D72DEB" w:rsidRDefault="00952CFE" w:rsidP="00D70808">
            <w:pPr>
              <w:spacing w:before="60" w:after="60"/>
              <w:rPr>
                <w:rFonts w:ascii="Arial" w:hAnsi="Arial" w:cs="Arial"/>
              </w:rPr>
            </w:pPr>
            <w:r w:rsidRPr="00D72DEB">
              <w:rPr>
                <w:rFonts w:ascii="Arial" w:hAnsi="Arial" w:cs="Arial"/>
              </w:rPr>
              <w:t>Delegate:</w:t>
            </w:r>
          </w:p>
        </w:tc>
        <w:tc>
          <w:tcPr>
            <w:tcW w:w="6390" w:type="dxa"/>
            <w:vAlign w:val="center"/>
          </w:tcPr>
          <w:p w14:paraId="1D2E3396" w14:textId="0AB78E4A" w:rsidR="00952CFE" w:rsidRPr="00D72DEB" w:rsidRDefault="00B832CE" w:rsidP="00AF76FA">
            <w:pPr>
              <w:spacing w:before="60" w:after="60"/>
              <w:jc w:val="left"/>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Provost and </w:t>
            </w:r>
            <w:r w:rsidR="00D70808" w:rsidRPr="00D72DEB">
              <w:rPr>
                <w:rFonts w:ascii="Arial" w:hAnsi="Arial" w:cs="Arial"/>
              </w:rPr>
              <w:t>Vice-President (Academic)</w:t>
            </w:r>
            <w:r w:rsidR="00E001AB">
              <w:rPr>
                <w:rFonts w:ascii="Arial" w:hAnsi="Arial" w:cs="Arial"/>
              </w:rPr>
              <w:t xml:space="preserve"> jointly with the Vice-President (Research and International)</w:t>
            </w:r>
            <w:r w:rsidR="00D70808" w:rsidRPr="00D72DEB">
              <w:rPr>
                <w:rFonts w:ascii="Arial" w:hAnsi="Arial" w:cs="Arial"/>
              </w:rPr>
              <w:t xml:space="preserve"> </w:t>
            </w:r>
          </w:p>
        </w:tc>
      </w:tr>
      <w:tr w:rsidR="00952CFE" w:rsidRPr="00D72DEB" w14:paraId="66CAE75B" w14:textId="77777777" w:rsidTr="00AF76FA">
        <w:trPr>
          <w:trHeight w:val="233"/>
        </w:trPr>
        <w:tc>
          <w:tcPr>
            <w:cnfStyle w:val="001000000000" w:firstRow="0" w:lastRow="0" w:firstColumn="1" w:lastColumn="0" w:oddVBand="0" w:evenVBand="0" w:oddHBand="0" w:evenHBand="0" w:firstRowFirstColumn="0" w:firstRowLastColumn="0" w:lastRowFirstColumn="0" w:lastRowLastColumn="0"/>
            <w:tcW w:w="3168" w:type="dxa"/>
          </w:tcPr>
          <w:p w14:paraId="4548F517" w14:textId="77777777" w:rsidR="00952CFE" w:rsidRPr="00D72DEB" w:rsidRDefault="00952CFE" w:rsidP="009B0E4E">
            <w:pPr>
              <w:spacing w:before="60" w:after="60"/>
              <w:rPr>
                <w:rFonts w:ascii="Arial" w:hAnsi="Arial" w:cs="Arial"/>
              </w:rPr>
            </w:pPr>
            <w:r w:rsidRPr="00D72DEB">
              <w:rPr>
                <w:rFonts w:ascii="Arial" w:hAnsi="Arial" w:cs="Arial"/>
              </w:rPr>
              <w:t>Contact:</w:t>
            </w:r>
          </w:p>
        </w:tc>
        <w:tc>
          <w:tcPr>
            <w:tcW w:w="6390" w:type="dxa"/>
            <w:vAlign w:val="center"/>
          </w:tcPr>
          <w:p w14:paraId="1AEF3B84" w14:textId="3EDA74BD" w:rsidR="00952CFE" w:rsidRPr="00D72DEB" w:rsidRDefault="00B832CE" w:rsidP="00AF76FA">
            <w:pPr>
              <w:spacing w:before="60" w:after="60"/>
              <w:jc w:val="left"/>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Provost and </w:t>
            </w:r>
            <w:r w:rsidR="00D70808" w:rsidRPr="00D72DEB">
              <w:rPr>
                <w:rFonts w:ascii="Arial" w:hAnsi="Arial" w:cs="Arial"/>
              </w:rPr>
              <w:t xml:space="preserve">Vice-President (Academic) </w:t>
            </w:r>
            <w:r w:rsidR="00E001AB">
              <w:rPr>
                <w:rFonts w:ascii="Arial" w:hAnsi="Arial" w:cs="Arial"/>
              </w:rPr>
              <w:t>jointly with the Vice-President (Research and International)</w:t>
            </w:r>
            <w:r w:rsidR="00E001AB" w:rsidRPr="00D72DEB">
              <w:rPr>
                <w:rFonts w:ascii="Arial" w:hAnsi="Arial" w:cs="Arial"/>
              </w:rPr>
              <w:t xml:space="preserve"> </w:t>
            </w:r>
          </w:p>
        </w:tc>
      </w:tr>
      <w:tr w:rsidR="00952CFE" w:rsidRPr="00D72DEB" w14:paraId="38BAE770" w14:textId="77777777" w:rsidTr="00AF76FA">
        <w:trPr>
          <w:trHeight w:val="233"/>
        </w:trPr>
        <w:tc>
          <w:tcPr>
            <w:cnfStyle w:val="001000000000" w:firstRow="0" w:lastRow="0" w:firstColumn="1" w:lastColumn="0" w:oddVBand="0" w:evenVBand="0" w:oddHBand="0" w:evenHBand="0" w:firstRowFirstColumn="0" w:firstRowLastColumn="0" w:lastRowFirstColumn="0" w:lastRowLastColumn="0"/>
            <w:tcW w:w="3168" w:type="dxa"/>
          </w:tcPr>
          <w:p w14:paraId="111A74F0" w14:textId="77777777" w:rsidR="00952CFE" w:rsidRPr="00D72DEB" w:rsidRDefault="00952CFE" w:rsidP="009B0E4E">
            <w:pPr>
              <w:spacing w:before="60" w:after="60"/>
              <w:rPr>
                <w:rFonts w:ascii="Arial" w:hAnsi="Arial" w:cs="Arial"/>
              </w:rPr>
            </w:pPr>
            <w:r w:rsidRPr="00D72DEB">
              <w:rPr>
                <w:rFonts w:ascii="Arial" w:hAnsi="Arial" w:cs="Arial"/>
              </w:rPr>
              <w:t>Application:</w:t>
            </w:r>
          </w:p>
        </w:tc>
        <w:tc>
          <w:tcPr>
            <w:tcW w:w="6390" w:type="dxa"/>
            <w:vAlign w:val="center"/>
          </w:tcPr>
          <w:p w14:paraId="3F04DDB9" w14:textId="77777777" w:rsidR="00952CFE" w:rsidRPr="00D72DEB" w:rsidRDefault="00D70808" w:rsidP="00AF76FA">
            <w:pPr>
              <w:spacing w:before="60" w:after="60"/>
              <w:jc w:val="left"/>
              <w:cnfStyle w:val="000000000000" w:firstRow="0" w:lastRow="0" w:firstColumn="0" w:lastColumn="0" w:oddVBand="0" w:evenVBand="0" w:oddHBand="0" w:evenHBand="0" w:firstRowFirstColumn="0" w:firstRowLastColumn="0" w:lastRowFirstColumn="0" w:lastRowLastColumn="0"/>
              <w:rPr>
                <w:rFonts w:ascii="Arial" w:hAnsi="Arial" w:cs="Arial"/>
              </w:rPr>
            </w:pPr>
            <w:r w:rsidRPr="00D72DEB">
              <w:rPr>
                <w:rFonts w:ascii="Arial" w:hAnsi="Arial" w:cs="Arial"/>
              </w:rPr>
              <w:t>All Academic Staff</w:t>
            </w:r>
          </w:p>
        </w:tc>
      </w:tr>
    </w:tbl>
    <w:p w14:paraId="754D765F" w14:textId="77777777" w:rsidR="00D70334" w:rsidRDefault="00952CFE" w:rsidP="00D70334">
      <w:pPr>
        <w:pStyle w:val="Heading1"/>
      </w:pPr>
      <w:r>
        <w:br/>
        <w:t>Reason for Procedure</w:t>
      </w:r>
    </w:p>
    <w:p w14:paraId="37C30DAD" w14:textId="77777777" w:rsidR="00D70808" w:rsidRDefault="00D70808" w:rsidP="00D70808">
      <w:pPr>
        <w:pStyle w:val="Heading2"/>
      </w:pPr>
      <w:r>
        <w:t>To give effect to the Chairs and Professorships</w:t>
      </w:r>
      <w:r w:rsidR="00E83100">
        <w:t xml:space="preserve"> Policy</w:t>
      </w:r>
      <w:r>
        <w:t>, these procedures articulate certain mechanisms, including:</w:t>
      </w:r>
    </w:p>
    <w:p w14:paraId="50F086BB" w14:textId="77777777" w:rsidR="00D70808" w:rsidRDefault="00D70808" w:rsidP="00D70808">
      <w:pPr>
        <w:pStyle w:val="Heading3"/>
      </w:pPr>
      <w:r>
        <w:t>procedures for the establishment of Chairs and Professorships;</w:t>
      </w:r>
    </w:p>
    <w:p w14:paraId="366D8874" w14:textId="77777777" w:rsidR="00D70808" w:rsidRDefault="00D70808" w:rsidP="00D70808">
      <w:pPr>
        <w:pStyle w:val="Heading3"/>
      </w:pPr>
      <w:r>
        <w:t>procedures for the selection and appointment of individuals to Chairs and Professorships;</w:t>
      </w:r>
    </w:p>
    <w:p w14:paraId="23189FC9" w14:textId="77777777" w:rsidR="00D70808" w:rsidRDefault="00D70808" w:rsidP="00D70808">
      <w:pPr>
        <w:pStyle w:val="Heading3"/>
      </w:pPr>
      <w:r>
        <w:t>procedures for the naming of Chairs and Professorships;</w:t>
      </w:r>
    </w:p>
    <w:p w14:paraId="02B6AD1A" w14:textId="5DBD57EA" w:rsidR="00D70808" w:rsidRDefault="00D70808" w:rsidP="00D70808">
      <w:pPr>
        <w:pStyle w:val="Heading3"/>
      </w:pPr>
      <w:r>
        <w:t xml:space="preserve">responsibilities of individuals appointed to Chairs and </w:t>
      </w:r>
      <w:proofErr w:type="gramStart"/>
      <w:r>
        <w:t>Professorships;</w:t>
      </w:r>
      <w:proofErr w:type="gramEnd"/>
      <w:r>
        <w:t xml:space="preserve"> </w:t>
      </w:r>
    </w:p>
    <w:p w14:paraId="01F93572" w14:textId="68A2348C" w:rsidR="008174DE" w:rsidRDefault="00D70808" w:rsidP="008174DE">
      <w:pPr>
        <w:pStyle w:val="Heading3"/>
      </w:pPr>
      <w:r>
        <w:t xml:space="preserve">requirements regarding performance </w:t>
      </w:r>
      <w:r w:rsidR="004F50FE">
        <w:t xml:space="preserve">reviews </w:t>
      </w:r>
      <w:r>
        <w:t>of individuals appointed to Chairs and Professorships</w:t>
      </w:r>
      <w:r w:rsidR="00DD1450">
        <w:t xml:space="preserve">; </w:t>
      </w:r>
      <w:r>
        <w:t xml:space="preserve">and </w:t>
      </w:r>
    </w:p>
    <w:p w14:paraId="351B7212" w14:textId="625214EA" w:rsidR="00D70808" w:rsidRDefault="00D70808" w:rsidP="008174DE">
      <w:pPr>
        <w:pStyle w:val="Heading3"/>
      </w:pPr>
      <w:r>
        <w:t>the administrative and financial arrangements of Chairs and Professorships.</w:t>
      </w:r>
    </w:p>
    <w:p w14:paraId="78F3FC26" w14:textId="77777777" w:rsidR="00DE05AD" w:rsidRDefault="00952CFE" w:rsidP="006739B7">
      <w:pPr>
        <w:pStyle w:val="Heading1"/>
      </w:pPr>
      <w:r>
        <w:lastRenderedPageBreak/>
        <w:br/>
      </w:r>
      <w:r w:rsidRPr="00F0056C">
        <w:t>Procedural Content</w:t>
      </w:r>
    </w:p>
    <w:p w14:paraId="431D25F5" w14:textId="77777777" w:rsidR="00D70808" w:rsidRPr="002A03C2" w:rsidRDefault="00D70808" w:rsidP="00D70808">
      <w:pPr>
        <w:pStyle w:val="Heading2Title"/>
        <w:rPr>
          <w:rFonts w:ascii="Arial" w:hAnsi="Arial" w:cs="Arial"/>
        </w:rPr>
      </w:pPr>
      <w:r w:rsidRPr="002A03C2">
        <w:rPr>
          <w:rFonts w:ascii="Arial" w:hAnsi="Arial" w:cs="Arial"/>
        </w:rPr>
        <w:t xml:space="preserve">Establishment of Chairs or Professorships </w:t>
      </w:r>
    </w:p>
    <w:p w14:paraId="5045EE10" w14:textId="77777777" w:rsidR="00D70808" w:rsidRDefault="00D70808" w:rsidP="00D70808">
      <w:pPr>
        <w:pStyle w:val="Heading2"/>
      </w:pPr>
      <w:r>
        <w:t xml:space="preserve">The initiative to establish a Chair or Professorship may come from a department, faculty, school, college, centre or institute of the University, from the President, a Vice-President or from a prospective donor(s). </w:t>
      </w:r>
    </w:p>
    <w:p w14:paraId="25CAAF49" w14:textId="77777777" w:rsidR="00D70808" w:rsidRDefault="00D70808" w:rsidP="00D70808">
      <w:pPr>
        <w:pStyle w:val="Heading2"/>
      </w:pPr>
      <w:r>
        <w:t xml:space="preserve">Confidential discussions with a prospective donor(s) may precede the development of a formal proposal to establish a Chair or Professorship. </w:t>
      </w:r>
    </w:p>
    <w:p w14:paraId="6BB34455" w14:textId="3379D0BB" w:rsidR="00D70808" w:rsidRDefault="00D70808" w:rsidP="00D70808">
      <w:pPr>
        <w:pStyle w:val="Heading2"/>
      </w:pPr>
      <w:r>
        <w:t xml:space="preserve">A formal proposal for the establishment of a Chair or Professorship shall </w:t>
      </w:r>
      <w:r w:rsidR="003F40A1">
        <w:t xml:space="preserve">be made using the </w:t>
      </w:r>
      <w:r w:rsidR="00D04AD0">
        <w:t xml:space="preserve">Appendix I </w:t>
      </w:r>
      <w:r w:rsidR="003F40A1">
        <w:t>template</w:t>
      </w:r>
      <w:r w:rsidR="00D04AD0">
        <w:t>.</w:t>
      </w:r>
      <w:r w:rsidR="003F40A1">
        <w:t xml:space="preserve"> </w:t>
      </w:r>
      <w:r w:rsidR="00D04AD0">
        <w:t xml:space="preserve">The proposal will </w:t>
      </w:r>
      <w:r>
        <w:t xml:space="preserve">normally be made by the head of the unit to which the Chair or Professorship will be attached. All such proposals shall have the approval of the relevant dean or director, where applicable, and the </w:t>
      </w:r>
      <w:r w:rsidR="005F0B4B">
        <w:t xml:space="preserve">Provost and </w:t>
      </w:r>
      <w:r>
        <w:t xml:space="preserve">Vice-President (Academic). In the case of proposals for Chairs and Professorships that are primarily intended to enhance the University's research programs, the </w:t>
      </w:r>
      <w:r w:rsidR="00B832CE">
        <w:t xml:space="preserve">Provost and </w:t>
      </w:r>
      <w:r>
        <w:t>Vice-President (Academic) shall consult with the Vice-President (Research</w:t>
      </w:r>
      <w:r w:rsidR="00F03F20">
        <w:t xml:space="preserve"> and International</w:t>
      </w:r>
      <w:r>
        <w:t>) in assessing the proposal. The proposal shall indicate:</w:t>
      </w:r>
    </w:p>
    <w:p w14:paraId="57514F4A" w14:textId="77777777" w:rsidR="00D70808" w:rsidRDefault="00D70808" w:rsidP="00D70808">
      <w:pPr>
        <w:pStyle w:val="Heading3"/>
      </w:pPr>
      <w:r>
        <w:t xml:space="preserve">the type of appointment (Chair, Professorship); </w:t>
      </w:r>
    </w:p>
    <w:p w14:paraId="655B9EA0" w14:textId="77777777" w:rsidR="00D70808" w:rsidRDefault="00D70808" w:rsidP="00D70808">
      <w:pPr>
        <w:pStyle w:val="Heading3"/>
      </w:pPr>
      <w:r>
        <w:t xml:space="preserve">the name of the Chair or Professorship; </w:t>
      </w:r>
    </w:p>
    <w:p w14:paraId="06E14AAD" w14:textId="77777777" w:rsidR="00D70808" w:rsidRDefault="00D70808" w:rsidP="00D70808">
      <w:pPr>
        <w:pStyle w:val="Heading3"/>
      </w:pPr>
      <w:r>
        <w:t xml:space="preserve">the purpose and objectives of the Chair or Professorship; </w:t>
      </w:r>
    </w:p>
    <w:p w14:paraId="0BFA8D91" w14:textId="77777777" w:rsidR="00D70808" w:rsidRDefault="00D70808" w:rsidP="00D70808">
      <w:pPr>
        <w:pStyle w:val="Heading3"/>
      </w:pPr>
      <w:r>
        <w:t xml:space="preserve">the relationship of the goals of the Chair or Professorship to those of the proposing unit; </w:t>
      </w:r>
    </w:p>
    <w:p w14:paraId="2615A86D" w14:textId="77777777" w:rsidR="00D70808" w:rsidRDefault="00D70808" w:rsidP="00D70808">
      <w:pPr>
        <w:pStyle w:val="Heading3"/>
      </w:pPr>
      <w:r>
        <w:t xml:space="preserve">the method by which the Chair or Professorship will be funded; </w:t>
      </w:r>
    </w:p>
    <w:p w14:paraId="5A567D84" w14:textId="04BD5BCD" w:rsidR="004634F4" w:rsidRDefault="004634F4" w:rsidP="004634F4">
      <w:pPr>
        <w:pStyle w:val="Heading3"/>
      </w:pPr>
      <w:r>
        <w:t xml:space="preserve">the process for selecting the Chair or Professorship; </w:t>
      </w:r>
    </w:p>
    <w:p w14:paraId="27EB32A5" w14:textId="7F50D05D" w:rsidR="00D70808" w:rsidRDefault="00D70808" w:rsidP="00D70808">
      <w:pPr>
        <w:pStyle w:val="Heading3"/>
      </w:pPr>
      <w:r>
        <w:t xml:space="preserve">the general and specific required academic qualifications of the candidates or nominees; </w:t>
      </w:r>
    </w:p>
    <w:p w14:paraId="05029DA4" w14:textId="77777777" w:rsidR="00D70808" w:rsidRDefault="00D70808" w:rsidP="00D70808">
      <w:pPr>
        <w:pStyle w:val="Heading3"/>
      </w:pPr>
      <w:r>
        <w:t xml:space="preserve">the term of the appointment, including, where applicable, provisions for reappointment; and </w:t>
      </w:r>
    </w:p>
    <w:p w14:paraId="50664ACF" w14:textId="77777777" w:rsidR="00D70808" w:rsidRDefault="00D70808" w:rsidP="00D70808">
      <w:pPr>
        <w:pStyle w:val="Heading3"/>
      </w:pPr>
      <w:r>
        <w:t xml:space="preserve">any other provisions unique to the Chair or Professorship. </w:t>
      </w:r>
    </w:p>
    <w:p w14:paraId="7F50C3CF" w14:textId="77777777" w:rsidR="00D70808" w:rsidRDefault="00D70808" w:rsidP="00D70808">
      <w:pPr>
        <w:pStyle w:val="Heading2"/>
      </w:pPr>
      <w:r>
        <w:t xml:space="preserve">All proposals for the establishment of Chairs and Professorships shall be considered by Senate and, following recommendation by Senate, by the Board of Governors. In the case of proposals for Chairs and Professorships that are primarily intended to enhance the University's research programs, the Senate Committee on University Research shall recommend to Senate. </w:t>
      </w:r>
    </w:p>
    <w:p w14:paraId="5874C985" w14:textId="77777777" w:rsidR="00D70808" w:rsidRPr="002A03C2" w:rsidRDefault="00D70808" w:rsidP="00D70808">
      <w:pPr>
        <w:pStyle w:val="Heading2Title"/>
        <w:rPr>
          <w:rFonts w:ascii="Arial" w:hAnsi="Arial" w:cs="Arial"/>
        </w:rPr>
      </w:pPr>
      <w:r w:rsidRPr="002A03C2">
        <w:rPr>
          <w:rFonts w:ascii="Arial" w:hAnsi="Arial" w:cs="Arial"/>
        </w:rPr>
        <w:lastRenderedPageBreak/>
        <w:t>Naming of Chairs and Professorships</w:t>
      </w:r>
    </w:p>
    <w:p w14:paraId="1363CDC2" w14:textId="77777777" w:rsidR="00D70808" w:rsidRDefault="00D70808" w:rsidP="00D70808">
      <w:pPr>
        <w:pStyle w:val="Heading2"/>
      </w:pPr>
      <w:r>
        <w:t xml:space="preserve">Proposals for the naming of a Chair or Professorship to honour an individual or at the request of a donor shall be submitted to the Senate Committee on Honorary Degrees for recommendation to Senate. </w:t>
      </w:r>
    </w:p>
    <w:p w14:paraId="76D9482A" w14:textId="77777777" w:rsidR="00D70808" w:rsidRDefault="00D70808" w:rsidP="00D70808">
      <w:pPr>
        <w:pStyle w:val="Heading2"/>
      </w:pPr>
      <w:r>
        <w:t xml:space="preserve">The Senate Committee on Honorary Degrees will recommend to Senate on the specific form of the name for the Chair or Professorship. </w:t>
      </w:r>
    </w:p>
    <w:p w14:paraId="08B27869" w14:textId="77777777" w:rsidR="00D70808" w:rsidRPr="002A03C2" w:rsidRDefault="00D70808" w:rsidP="00D70808">
      <w:pPr>
        <w:pStyle w:val="Heading2Title"/>
        <w:rPr>
          <w:rFonts w:ascii="Arial" w:hAnsi="Arial" w:cs="Arial"/>
        </w:rPr>
      </w:pPr>
      <w:r w:rsidRPr="002A03C2">
        <w:rPr>
          <w:rFonts w:ascii="Arial" w:hAnsi="Arial" w:cs="Arial"/>
        </w:rPr>
        <w:t xml:space="preserve">Selection and Appointment of Chairs or Professorships </w:t>
      </w:r>
    </w:p>
    <w:p w14:paraId="41C1FF14" w14:textId="0EDAB63F" w:rsidR="00D70808" w:rsidRDefault="00D70808" w:rsidP="00D70808">
      <w:pPr>
        <w:pStyle w:val="Heading2"/>
      </w:pPr>
      <w:r>
        <w:t xml:space="preserve">The </w:t>
      </w:r>
      <w:bookmarkStart w:id="0" w:name="Selection"/>
      <w:bookmarkEnd w:id="0"/>
      <w:r>
        <w:t xml:space="preserve">selection and appointment of an individual to a Chair or Professorship shall be conducted in accordance with normal University </w:t>
      </w:r>
      <w:r w:rsidR="009915C6">
        <w:t xml:space="preserve">policies </w:t>
      </w:r>
      <w:r w:rsidR="00D30EF1">
        <w:t xml:space="preserve">and processes, </w:t>
      </w:r>
      <w:r>
        <w:t xml:space="preserve">and/or the provisions of the relevant Collective Agreement (except as provided in section </w:t>
      </w:r>
      <w:r>
        <w:fldChar w:fldCharType="begin"/>
      </w:r>
      <w:r>
        <w:instrText xml:space="preserve"> REF Selection_exception \r \h </w:instrText>
      </w:r>
      <w:r>
        <w:fldChar w:fldCharType="separate"/>
      </w:r>
      <w:r w:rsidR="00404DD3">
        <w:t>2.8</w:t>
      </w:r>
      <w:r>
        <w:fldChar w:fldCharType="end"/>
      </w:r>
      <w:r>
        <w:t xml:space="preserve">). </w:t>
      </w:r>
    </w:p>
    <w:p w14:paraId="4A637F2D" w14:textId="26782843" w:rsidR="00D70808" w:rsidRDefault="00D70808" w:rsidP="00D70808">
      <w:pPr>
        <w:pStyle w:val="Heading2"/>
      </w:pPr>
      <w:r>
        <w:t xml:space="preserve">Notwithstanding </w:t>
      </w:r>
      <w:bookmarkStart w:id="1" w:name="Selection_exception"/>
      <w:bookmarkEnd w:id="1"/>
      <w:r>
        <w:t xml:space="preserve">the provisions of Policy: </w:t>
      </w:r>
      <w:r w:rsidR="000A563B">
        <w:t>Academic Appointments</w:t>
      </w:r>
      <w:r>
        <w:t xml:space="preserve">, in cases where it is proposed that a member of the University's full-time academic staff </w:t>
      </w:r>
      <w:r w:rsidR="00582C26">
        <w:t xml:space="preserve">(including G.F.T.) </w:t>
      </w:r>
      <w:r>
        <w:t xml:space="preserve">be appointed to a Chair or Professorship, such an appointment may be made without a search with the approval of the </w:t>
      </w:r>
      <w:r w:rsidR="00D30EF1">
        <w:t>Prov</w:t>
      </w:r>
      <w:r w:rsidR="00B832CE">
        <w:t>o</w:t>
      </w:r>
      <w:r w:rsidR="00D30EF1">
        <w:t xml:space="preserve">st and </w:t>
      </w:r>
      <w:r>
        <w:t xml:space="preserve">Vice-President (Academic), normally on the recommendation of the unit head and, where appropriate, the dean or director. </w:t>
      </w:r>
      <w:r w:rsidR="00582C26">
        <w:t xml:space="preserve"> </w:t>
      </w:r>
    </w:p>
    <w:p w14:paraId="6612C42D" w14:textId="71E7AC75" w:rsidR="00D70808" w:rsidRDefault="00D70808" w:rsidP="00D70808">
      <w:pPr>
        <w:pStyle w:val="Heading2"/>
      </w:pPr>
      <w:r>
        <w:t xml:space="preserve">Nothing in sections </w:t>
      </w:r>
      <w:r>
        <w:fldChar w:fldCharType="begin"/>
      </w:r>
      <w:r>
        <w:instrText xml:space="preserve"> REF Selection \r \h </w:instrText>
      </w:r>
      <w:r>
        <w:fldChar w:fldCharType="separate"/>
      </w:r>
      <w:r w:rsidR="00404DD3">
        <w:t>2.7</w:t>
      </w:r>
      <w:r>
        <w:fldChar w:fldCharType="end"/>
      </w:r>
      <w:r>
        <w:t xml:space="preserve"> and </w:t>
      </w:r>
      <w:r>
        <w:fldChar w:fldCharType="begin"/>
      </w:r>
      <w:r>
        <w:instrText xml:space="preserve"> REF Selection_exception \r \h </w:instrText>
      </w:r>
      <w:r>
        <w:fldChar w:fldCharType="separate"/>
      </w:r>
      <w:r w:rsidR="00404DD3">
        <w:t>2.8</w:t>
      </w:r>
      <w:r>
        <w:fldChar w:fldCharType="end"/>
      </w:r>
      <w:r>
        <w:t xml:space="preserve"> will be deemed to prevent the University or the relevant unit of the University from providing an opportunity for consultation with the donor(s), or their representative(s). Responsibility for the appointment of individuals to Chairs and Professorships, however, rests solely with the University. </w:t>
      </w:r>
    </w:p>
    <w:p w14:paraId="78FCE296" w14:textId="77777777" w:rsidR="00D70808" w:rsidRDefault="00D70808" w:rsidP="00D70808">
      <w:pPr>
        <w:pStyle w:val="Heading2"/>
      </w:pPr>
      <w:r>
        <w:t xml:space="preserve">Appointees to Chairs and Professorships may be granted tenured, probationary, term or contingent appointments, </w:t>
      </w:r>
      <w:r w:rsidRPr="007A7F13">
        <w:t>as approved by the Board of Governors</w:t>
      </w:r>
      <w:r>
        <w:t xml:space="preserve">. </w:t>
      </w:r>
    </w:p>
    <w:p w14:paraId="188D9872" w14:textId="40C22191" w:rsidR="00D70808" w:rsidRDefault="00D70808" w:rsidP="00D70808">
      <w:pPr>
        <w:pStyle w:val="Heading2"/>
      </w:pPr>
      <w:r>
        <w:t>Appointees to Chairs and Professorships shall be full-time employees of the University</w:t>
      </w:r>
      <w:r w:rsidR="000E1A74">
        <w:t>,</w:t>
      </w:r>
      <w:r>
        <w:t xml:space="preserve"> except </w:t>
      </w:r>
      <w:r w:rsidR="000E1A74">
        <w:t xml:space="preserve">in the case of </w:t>
      </w:r>
      <w:r>
        <w:t xml:space="preserve">Joint Chairs or Professorships. </w:t>
      </w:r>
    </w:p>
    <w:p w14:paraId="0B1DFBF3" w14:textId="77777777" w:rsidR="00D70808" w:rsidRPr="002A03C2" w:rsidRDefault="00D70808" w:rsidP="00D70808">
      <w:pPr>
        <w:pStyle w:val="Heading2Title"/>
        <w:rPr>
          <w:rFonts w:ascii="Arial" w:hAnsi="Arial" w:cs="Arial"/>
        </w:rPr>
      </w:pPr>
      <w:r w:rsidRPr="002A03C2">
        <w:rPr>
          <w:rFonts w:ascii="Arial" w:hAnsi="Arial" w:cs="Arial"/>
        </w:rPr>
        <w:t xml:space="preserve">Responsibilities of Appointees to Chairs and Professorships </w:t>
      </w:r>
    </w:p>
    <w:p w14:paraId="1857450A" w14:textId="77777777" w:rsidR="00D70808" w:rsidRDefault="00D70808" w:rsidP="00D70808">
      <w:pPr>
        <w:pStyle w:val="Heading2"/>
      </w:pPr>
      <w:r>
        <w:t xml:space="preserve">The specific duties and responsibilities of appointees to Chairs and Professorships shall be stated in a formal letter of offer. </w:t>
      </w:r>
    </w:p>
    <w:p w14:paraId="6700471B" w14:textId="77777777" w:rsidR="00D70808" w:rsidRDefault="00D70808" w:rsidP="00D70808">
      <w:pPr>
        <w:pStyle w:val="Heading2"/>
      </w:pPr>
      <w:r>
        <w:t xml:space="preserve">While Chairs and Professorships may allow for a greater concentration on research, </w:t>
      </w:r>
      <w:proofErr w:type="gramStart"/>
      <w:r>
        <w:t>scholarship</w:t>
      </w:r>
      <w:proofErr w:type="gramEnd"/>
      <w:r>
        <w:t xml:space="preserve"> and creative works than that afforded by a regular academic appointment, a reasonable commitment to teaching is expected of all appointees to Chairs and Professorships. </w:t>
      </w:r>
    </w:p>
    <w:p w14:paraId="10B4B2AD" w14:textId="77777777" w:rsidR="00D70808" w:rsidRDefault="00D70808" w:rsidP="00D70808">
      <w:pPr>
        <w:pStyle w:val="Heading2"/>
      </w:pPr>
      <w:r>
        <w:t xml:space="preserve">During the first year of the appointment, appointees to Chairs and Professorships shall normally be required to give a public lecture. The scheduling and announcement of such lectures shall normally be coordinated by the relevant unit head, in collaboration with the University's </w:t>
      </w:r>
      <w:r w:rsidR="008D6153">
        <w:t>Marketing Communications Office</w:t>
      </w:r>
      <w:r>
        <w:t xml:space="preserve">. </w:t>
      </w:r>
    </w:p>
    <w:p w14:paraId="7F373E7B" w14:textId="728E9B67" w:rsidR="00D70808" w:rsidRDefault="00D70808" w:rsidP="00D70808">
      <w:pPr>
        <w:pStyle w:val="Heading2"/>
      </w:pPr>
      <w:r>
        <w:lastRenderedPageBreak/>
        <w:t xml:space="preserve">Appointees to Chairs and Professorships shall report annually, in the same manner as other faculty, to their unit head. Holders of Chairs and Professorships shall furnish an annual report of activities to the unit head, the dean or director, where applicable, and the </w:t>
      </w:r>
      <w:r w:rsidR="00B011B1">
        <w:t xml:space="preserve">Provost and </w:t>
      </w:r>
      <w:r>
        <w:t>Vice-President (Academic). In the case of Chairs and Professorships that are primarily intended to enhance the University's research programs, an annual report of activities shall also be provided to the Vice-President (Research</w:t>
      </w:r>
      <w:r w:rsidR="00F03F20">
        <w:t xml:space="preserve"> and International</w:t>
      </w:r>
      <w:r>
        <w:t xml:space="preserve">). </w:t>
      </w:r>
    </w:p>
    <w:p w14:paraId="0564F843" w14:textId="77777777" w:rsidR="00D70808" w:rsidRPr="002A03C2" w:rsidRDefault="00D70808" w:rsidP="00D70808">
      <w:pPr>
        <w:pStyle w:val="Heading2Title"/>
        <w:rPr>
          <w:rFonts w:ascii="Arial" w:hAnsi="Arial" w:cs="Arial"/>
        </w:rPr>
      </w:pPr>
      <w:r w:rsidRPr="002A03C2">
        <w:rPr>
          <w:rFonts w:ascii="Arial" w:hAnsi="Arial" w:cs="Arial"/>
        </w:rPr>
        <w:t xml:space="preserve">Review of Chairs and Professorships </w:t>
      </w:r>
    </w:p>
    <w:p w14:paraId="0D94D452" w14:textId="63ECB58D" w:rsidR="00D70808" w:rsidRDefault="00D70808" w:rsidP="00D70808">
      <w:pPr>
        <w:pStyle w:val="Heading2"/>
      </w:pPr>
      <w:r>
        <w:t xml:space="preserve">The performance of appointees to Chairs and Professorships shall be reviewed in the same manner as other </w:t>
      </w:r>
      <w:r w:rsidR="007B1999">
        <w:t xml:space="preserve">faculty </w:t>
      </w:r>
      <w:r>
        <w:t xml:space="preserve">members. </w:t>
      </w:r>
    </w:p>
    <w:p w14:paraId="21A20730" w14:textId="0AFDDB3C" w:rsidR="00D70808" w:rsidRDefault="00D70808" w:rsidP="00D70808">
      <w:pPr>
        <w:pStyle w:val="Heading2"/>
      </w:pPr>
      <w:r>
        <w:t xml:space="preserve">If appointment renewal is permitted, the unit head or, where applicable, the dean or director is responsible for initiating and coordinating a timely reappointment review process. The resulting recommendation on reappointments shall be reported to the </w:t>
      </w:r>
      <w:r w:rsidR="005F153D">
        <w:t xml:space="preserve">Provost and </w:t>
      </w:r>
      <w:r>
        <w:t xml:space="preserve">Vice-President (Academic). </w:t>
      </w:r>
    </w:p>
    <w:p w14:paraId="5FFA7528" w14:textId="47D04DAF" w:rsidR="00D70808" w:rsidRDefault="00D70808" w:rsidP="00D70808">
      <w:pPr>
        <w:pStyle w:val="Heading2"/>
      </w:pPr>
      <w:r>
        <w:t xml:space="preserve">The administrative and financial arrangements pertaining to a Chair or Professorship shall be reviewed on a periodic basis but not less than every five years. The unit head or, where applicable, the dean or director is responsible for initiating and coordinating this review. The results of this review shall be reported to the </w:t>
      </w:r>
      <w:r w:rsidR="00D065BA">
        <w:t xml:space="preserve">Provost and </w:t>
      </w:r>
      <w:r>
        <w:t xml:space="preserve">Vice-President (Academic). </w:t>
      </w:r>
    </w:p>
    <w:p w14:paraId="266D6CA1" w14:textId="77777777" w:rsidR="00DE05AD" w:rsidRPr="00F0056C" w:rsidRDefault="006739B7" w:rsidP="006739B7">
      <w:pPr>
        <w:pStyle w:val="Heading1"/>
      </w:pPr>
      <w:r>
        <w:br/>
      </w:r>
      <w:r w:rsidRPr="00F0056C">
        <w:rPr>
          <w:rFonts w:cs="Times New Roman"/>
        </w:rPr>
        <w:t>Accountability</w:t>
      </w:r>
    </w:p>
    <w:p w14:paraId="4EED21F2" w14:textId="77777777" w:rsidR="00431A6A" w:rsidRPr="00FC4B78" w:rsidRDefault="00431A6A" w:rsidP="006739B7">
      <w:pPr>
        <w:pStyle w:val="Heading2"/>
      </w:pPr>
      <w:r w:rsidRPr="00FC4B78">
        <w:t>The Office of Legal Counsel is responsible for advising the</w:t>
      </w:r>
      <w:r w:rsidR="00D70334">
        <w:t xml:space="preserve"> </w:t>
      </w:r>
      <w:r w:rsidR="008D6153">
        <w:t>President</w:t>
      </w:r>
      <w:r w:rsidRPr="00FC4B78">
        <w:t xml:space="preserve"> </w:t>
      </w:r>
      <w:r w:rsidR="00A004EC">
        <w:t>that a formal review of t</w:t>
      </w:r>
      <w:r w:rsidR="00B961E9">
        <w:t>h</w:t>
      </w:r>
      <w:r w:rsidR="002F2E99">
        <w:t>is</w:t>
      </w:r>
      <w:r>
        <w:t xml:space="preserve"> Procedure</w:t>
      </w:r>
      <w:r w:rsidR="00A004EC">
        <w:t xml:space="preserve"> is</w:t>
      </w:r>
      <w:r w:rsidRPr="00FC4B78">
        <w:t xml:space="preserve"> required.</w:t>
      </w:r>
    </w:p>
    <w:p w14:paraId="7A3C295C" w14:textId="6540BC43" w:rsidR="00431A6A" w:rsidRDefault="00431A6A" w:rsidP="006739B7">
      <w:pPr>
        <w:pStyle w:val="Heading2"/>
      </w:pPr>
      <w:r w:rsidRPr="00FC4B78">
        <w:t>The</w:t>
      </w:r>
      <w:r w:rsidR="00D70334">
        <w:t xml:space="preserve"> </w:t>
      </w:r>
      <w:r w:rsidR="00D065BA">
        <w:t xml:space="preserve">Provost and </w:t>
      </w:r>
      <w:r w:rsidR="008D6153">
        <w:t xml:space="preserve">Vice-President (Academic) </w:t>
      </w:r>
      <w:r>
        <w:t>i</w:t>
      </w:r>
      <w:r w:rsidRPr="00FC4B78">
        <w:t xml:space="preserve">s responsible for </w:t>
      </w:r>
      <w:r>
        <w:t xml:space="preserve">the </w:t>
      </w:r>
      <w:r w:rsidR="00B74062">
        <w:t xml:space="preserve">implementation, </w:t>
      </w:r>
      <w:proofErr w:type="gramStart"/>
      <w:r w:rsidR="002F2E99">
        <w:t>administration</w:t>
      </w:r>
      <w:proofErr w:type="gramEnd"/>
      <w:r w:rsidR="00B74062">
        <w:t xml:space="preserve"> and review</w:t>
      </w:r>
      <w:r>
        <w:t xml:space="preserve"> of th</w:t>
      </w:r>
      <w:r w:rsidR="002F2E99">
        <w:t>i</w:t>
      </w:r>
      <w:r w:rsidR="00B961E9">
        <w:t>s</w:t>
      </w:r>
      <w:r>
        <w:t xml:space="preserve"> Procedure</w:t>
      </w:r>
      <w:r w:rsidRPr="00FC4B78">
        <w:t>.</w:t>
      </w:r>
    </w:p>
    <w:p w14:paraId="710BB690" w14:textId="77777777" w:rsidR="00431A6A" w:rsidRPr="00FC4B78" w:rsidRDefault="008D6153" w:rsidP="006739B7">
      <w:pPr>
        <w:pStyle w:val="Heading2"/>
      </w:pPr>
      <w:r>
        <w:rPr>
          <w:rFonts w:cs="Times New Roman"/>
        </w:rPr>
        <w:t>All Academic Staff</w:t>
      </w:r>
      <w:r w:rsidR="00D70334">
        <w:rPr>
          <w:rFonts w:cs="Times New Roman"/>
        </w:rPr>
        <w:t xml:space="preserve"> </w:t>
      </w:r>
      <w:r w:rsidR="00431A6A">
        <w:t>are responsible for complying with th</w:t>
      </w:r>
      <w:r w:rsidR="002F2E99">
        <w:t>is</w:t>
      </w:r>
      <w:r w:rsidR="00A679EF">
        <w:t xml:space="preserve"> Procedure.</w:t>
      </w:r>
    </w:p>
    <w:p w14:paraId="6967B429" w14:textId="77777777" w:rsidR="00DE05AD" w:rsidRPr="00F0056C" w:rsidRDefault="006739B7" w:rsidP="006739B7">
      <w:pPr>
        <w:pStyle w:val="Heading1"/>
      </w:pPr>
      <w:r>
        <w:br/>
      </w:r>
      <w:r w:rsidRPr="00F0056C">
        <w:rPr>
          <w:rFonts w:cs="Times New Roman"/>
        </w:rPr>
        <w:t>Review</w:t>
      </w:r>
    </w:p>
    <w:p w14:paraId="4A7780DB" w14:textId="1F484A79" w:rsidR="00DE05AD" w:rsidRDefault="006B2290" w:rsidP="006739B7">
      <w:pPr>
        <w:pStyle w:val="Heading2"/>
      </w:pPr>
      <w:r w:rsidRPr="00F0056C">
        <w:t>Governing Document</w:t>
      </w:r>
      <w:r w:rsidR="00DE05AD" w:rsidRPr="00F0056C">
        <w:t xml:space="preserve"> reviews shall be conducted every te</w:t>
      </w:r>
      <w:r w:rsidR="00B74062">
        <w:t>n (10) years</w:t>
      </w:r>
      <w:r w:rsidR="00DE05AD" w:rsidRPr="00F0056C">
        <w:t>.  The next scheduled review date for th</w:t>
      </w:r>
      <w:r w:rsidR="002F2E99">
        <w:t>i</w:t>
      </w:r>
      <w:r w:rsidR="00B961E9">
        <w:t>s</w:t>
      </w:r>
      <w:r w:rsidR="00DE05AD" w:rsidRPr="00F0056C">
        <w:t xml:space="preserve"> P</w:t>
      </w:r>
      <w:r w:rsidR="004125FA" w:rsidRPr="00F0056C">
        <w:t>rocedure</w:t>
      </w:r>
      <w:r w:rsidR="00DE05AD" w:rsidRPr="00F0056C">
        <w:t xml:space="preserve"> is</w:t>
      </w:r>
      <w:r w:rsidR="00D70334">
        <w:t xml:space="preserve"> </w:t>
      </w:r>
      <w:r w:rsidR="00D065BA">
        <w:rPr>
          <w:rFonts w:cs="Arial"/>
        </w:rPr>
        <w:t xml:space="preserve">some time in </w:t>
      </w:r>
      <w:r w:rsidR="00E001AB">
        <w:rPr>
          <w:rFonts w:cs="Arial"/>
        </w:rPr>
        <w:t>2032.</w:t>
      </w:r>
    </w:p>
    <w:p w14:paraId="659723FA" w14:textId="77777777" w:rsidR="00514984" w:rsidRDefault="00DE05AD" w:rsidP="006739B7">
      <w:pPr>
        <w:pStyle w:val="Heading2"/>
      </w:pPr>
      <w:r w:rsidRPr="00F0056C">
        <w:t>In the interim, th</w:t>
      </w:r>
      <w:r w:rsidR="002F2E99">
        <w:t>is</w:t>
      </w:r>
      <w:r w:rsidRPr="00F0056C">
        <w:t xml:space="preserve"> P</w:t>
      </w:r>
      <w:r w:rsidR="004125FA" w:rsidRPr="00F0056C">
        <w:t xml:space="preserve">rocedure </w:t>
      </w:r>
      <w:r w:rsidRPr="00F0056C">
        <w:t xml:space="preserve">may be revised or </w:t>
      </w:r>
      <w:r w:rsidR="00514984" w:rsidRPr="00F0056C">
        <w:t>repealed if:</w:t>
      </w:r>
    </w:p>
    <w:p w14:paraId="724C2687" w14:textId="77777777" w:rsidR="00514984" w:rsidRDefault="00D70334" w:rsidP="006739B7">
      <w:pPr>
        <w:pStyle w:val="Heading3"/>
      </w:pPr>
      <w:r>
        <w:t xml:space="preserve">the </w:t>
      </w:r>
      <w:r w:rsidR="00514984" w:rsidRPr="00F0056C">
        <w:t>Approving Body deems it necessary or desirable to do so;</w:t>
      </w:r>
    </w:p>
    <w:p w14:paraId="6E6EFAC8" w14:textId="77777777" w:rsidR="00514984" w:rsidRPr="00F0056C" w:rsidRDefault="00514984" w:rsidP="006739B7">
      <w:pPr>
        <w:pStyle w:val="Heading3"/>
      </w:pPr>
      <w:r w:rsidRPr="00F0056C">
        <w:t xml:space="preserve">the </w:t>
      </w:r>
      <w:r w:rsidR="00E13685">
        <w:t>Procedure</w:t>
      </w:r>
      <w:r w:rsidRPr="00F0056C">
        <w:t xml:space="preserve"> </w:t>
      </w:r>
      <w:r w:rsidR="002F2E99">
        <w:t>is</w:t>
      </w:r>
      <w:r w:rsidRPr="00F0056C">
        <w:t xml:space="preserve"> no longer legislatively or statutorily compliant</w:t>
      </w:r>
      <w:r w:rsidR="004125FA" w:rsidRPr="00F0056C">
        <w:t>;</w:t>
      </w:r>
    </w:p>
    <w:p w14:paraId="3297C0AB" w14:textId="77777777" w:rsidR="00514984" w:rsidRPr="00F0056C" w:rsidRDefault="00514984" w:rsidP="006739B7">
      <w:pPr>
        <w:pStyle w:val="Heading3"/>
      </w:pPr>
      <w:r w:rsidRPr="00F0056C">
        <w:lastRenderedPageBreak/>
        <w:t xml:space="preserve">the </w:t>
      </w:r>
      <w:r w:rsidR="00E13685">
        <w:t xml:space="preserve">Procedure </w:t>
      </w:r>
      <w:r w:rsidR="002F2E99">
        <w:t>is</w:t>
      </w:r>
      <w:r w:rsidRPr="00F0056C">
        <w:t xml:space="preserve"> now in conflict </w:t>
      </w:r>
      <w:r w:rsidR="004125FA" w:rsidRPr="00F0056C">
        <w:t>with another Governing Document; and/or</w:t>
      </w:r>
    </w:p>
    <w:p w14:paraId="02C73D43" w14:textId="77777777" w:rsidR="004125FA" w:rsidRPr="00F0056C" w:rsidRDefault="004125FA" w:rsidP="006739B7">
      <w:pPr>
        <w:pStyle w:val="Heading3"/>
      </w:pPr>
      <w:r w:rsidRPr="00F0056C">
        <w:t>the Parent Policy is revised or repealed.</w:t>
      </w:r>
    </w:p>
    <w:p w14:paraId="3085DE5A" w14:textId="77777777" w:rsidR="00DE05AD" w:rsidRPr="00F0056C" w:rsidRDefault="004407D2" w:rsidP="004407D2">
      <w:pPr>
        <w:pStyle w:val="Heading1"/>
      </w:pPr>
      <w:bookmarkStart w:id="2" w:name="GoBack"/>
      <w:bookmarkEnd w:id="2"/>
      <w:r>
        <w:br/>
      </w:r>
      <w:r w:rsidRPr="00F0056C">
        <w:rPr>
          <w:rFonts w:cs="Times New Roman"/>
        </w:rPr>
        <w:t>Effect on Previous Statements</w:t>
      </w:r>
    </w:p>
    <w:p w14:paraId="1AAFE037" w14:textId="77777777" w:rsidR="00DE05AD" w:rsidRDefault="00DE05AD" w:rsidP="004407D2">
      <w:pPr>
        <w:pStyle w:val="Heading2"/>
      </w:pPr>
      <w:r w:rsidRPr="00F0056C">
        <w:t>Th</w:t>
      </w:r>
      <w:r w:rsidR="002F2E99">
        <w:t>is</w:t>
      </w:r>
      <w:r w:rsidRPr="00F0056C">
        <w:t xml:space="preserve"> P</w:t>
      </w:r>
      <w:r w:rsidR="004125FA" w:rsidRPr="00F0056C">
        <w:t xml:space="preserve">rocedure </w:t>
      </w:r>
      <w:r w:rsidRPr="00F0056C">
        <w:t>supersede</w:t>
      </w:r>
      <w:r w:rsidR="002F2E99">
        <w:t>s</w:t>
      </w:r>
      <w:r w:rsidRPr="00F0056C">
        <w:t xml:space="preserve"> </w:t>
      </w:r>
      <w:proofErr w:type="gramStart"/>
      <w:r w:rsidRPr="00F0056C">
        <w:t>all of</w:t>
      </w:r>
      <w:proofErr w:type="gramEnd"/>
      <w:r w:rsidRPr="00F0056C">
        <w:t xml:space="preserve"> the following:</w:t>
      </w:r>
    </w:p>
    <w:p w14:paraId="68396D54" w14:textId="77777777" w:rsidR="00D70334" w:rsidRDefault="008D6153" w:rsidP="000F2400">
      <w:pPr>
        <w:pStyle w:val="Heading3"/>
      </w:pPr>
      <w:r>
        <w:t>Chairs and Professorships</w:t>
      </w:r>
      <w:r w:rsidR="00E83100">
        <w:t xml:space="preserve"> Policy</w:t>
      </w:r>
      <w:r>
        <w:t>, approved May 23, 1993 and amended June 22, 2000;</w:t>
      </w:r>
    </w:p>
    <w:p w14:paraId="7E241710" w14:textId="77777777" w:rsidR="008D6153" w:rsidRDefault="008D6153" w:rsidP="000F2400">
      <w:pPr>
        <w:pStyle w:val="Heading3"/>
      </w:pPr>
      <w:r>
        <w:t>Naming Chairs and Professorships</w:t>
      </w:r>
      <w:r w:rsidR="00E83100">
        <w:t xml:space="preserve"> Policy</w:t>
      </w:r>
      <w:r>
        <w:t>, approved January 6, 1982 and amended June 22, 2000;</w:t>
      </w:r>
    </w:p>
    <w:p w14:paraId="4995C210" w14:textId="77777777" w:rsidR="00DE05AD" w:rsidRPr="00F0056C" w:rsidRDefault="00DE05AD" w:rsidP="000F2400">
      <w:pPr>
        <w:pStyle w:val="Heading3"/>
      </w:pPr>
      <w:r w:rsidRPr="00F0056C">
        <w:t>all previous Board of Governors/Senate Governing Documents on the subject matter contained herein;</w:t>
      </w:r>
      <w:r w:rsidR="00936055">
        <w:t xml:space="preserve"> and</w:t>
      </w:r>
    </w:p>
    <w:p w14:paraId="1142C664" w14:textId="77777777" w:rsidR="00DE05AD" w:rsidRDefault="00DE05AD" w:rsidP="000F2400">
      <w:pPr>
        <w:pStyle w:val="Heading3"/>
      </w:pPr>
      <w:r w:rsidRPr="00F0056C">
        <w:t>all previous Administration Governing Documents on the subject matter contained herein.</w:t>
      </w:r>
    </w:p>
    <w:p w14:paraId="49C1B75B" w14:textId="77777777" w:rsidR="00DE05AD" w:rsidRPr="00F0056C" w:rsidRDefault="004407D2" w:rsidP="004407D2">
      <w:pPr>
        <w:pStyle w:val="Heading1"/>
      </w:pPr>
      <w:r>
        <w:br/>
      </w:r>
      <w:r w:rsidRPr="00F0056C">
        <w:rPr>
          <w:rFonts w:cs="Times New Roman"/>
        </w:rPr>
        <w:t>Cross References</w:t>
      </w:r>
    </w:p>
    <w:p w14:paraId="27A3ED69" w14:textId="77777777" w:rsidR="00DE05AD" w:rsidRDefault="00DE05AD" w:rsidP="004407D2">
      <w:pPr>
        <w:pStyle w:val="Heading2"/>
      </w:pPr>
      <w:r w:rsidRPr="00F0056C">
        <w:t>Th</w:t>
      </w:r>
      <w:r w:rsidR="002F2E99">
        <w:t>is</w:t>
      </w:r>
      <w:r w:rsidRPr="00F0056C">
        <w:t xml:space="preserve"> P</w:t>
      </w:r>
      <w:r w:rsidR="004125FA" w:rsidRPr="00F0056C">
        <w:t>rocedure</w:t>
      </w:r>
      <w:r w:rsidRPr="00F0056C">
        <w:t xml:space="preserve"> should be cross referenced to the following relevant Governing Documents, legislation and/or forms:</w:t>
      </w:r>
    </w:p>
    <w:p w14:paraId="56D79655" w14:textId="77777777" w:rsidR="00006B2F" w:rsidRDefault="008D6153" w:rsidP="004407D2">
      <w:pPr>
        <w:pStyle w:val="Heading3"/>
      </w:pPr>
      <w:r w:rsidRPr="00AF76FA">
        <w:rPr>
          <w:color w:val="0070C0"/>
        </w:rPr>
        <w:t>Chairs and Professorships</w:t>
      </w:r>
      <w:r w:rsidR="00E83100">
        <w:rPr>
          <w:color w:val="0070C0"/>
        </w:rPr>
        <w:t xml:space="preserve"> Policy</w:t>
      </w:r>
    </w:p>
    <w:p w14:paraId="27AF15C5" w14:textId="77777777" w:rsidR="008A2181" w:rsidRDefault="008A2181" w:rsidP="004407D2">
      <w:pPr>
        <w:pStyle w:val="Heading3"/>
      </w:pPr>
      <w:r w:rsidRPr="00AF76FA">
        <w:rPr>
          <w:color w:val="0070C0"/>
        </w:rPr>
        <w:t xml:space="preserve">Academic </w:t>
      </w:r>
      <w:r w:rsidR="00AF76FA" w:rsidRPr="00AF76FA">
        <w:rPr>
          <w:color w:val="0070C0"/>
        </w:rPr>
        <w:t>Appointments</w:t>
      </w:r>
      <w:r w:rsidR="00E83100">
        <w:rPr>
          <w:color w:val="0070C0"/>
        </w:rPr>
        <w:t xml:space="preserve"> Policy</w:t>
      </w:r>
    </w:p>
    <w:sectPr w:rsidR="008A218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CB0521" w14:textId="77777777" w:rsidR="00581BE3" w:rsidRDefault="00581BE3" w:rsidP="00126BF4">
      <w:r>
        <w:separator/>
      </w:r>
    </w:p>
  </w:endnote>
  <w:endnote w:type="continuationSeparator" w:id="0">
    <w:p w14:paraId="6F503D83" w14:textId="77777777" w:rsidR="00581BE3" w:rsidRDefault="00581BE3" w:rsidP="00126B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Lucida Grande">
    <w:altName w:val="Segoe UI"/>
    <w:charset w:val="00"/>
    <w:family w:val="swiss"/>
    <w:pitch w:val="variable"/>
    <w:sig w:usb0="E1000AEF" w:usb1="5000A1FF" w:usb2="00000000" w:usb3="00000000" w:csb0="000001BF" w:csb1="00000000"/>
  </w:font>
  <w:font w:name="ヒラギノ角ゴ Pro W3">
    <w:altName w:val="Times New Roman"/>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E58FFF" w14:textId="77777777" w:rsidR="00581BE3" w:rsidRDefault="00581BE3" w:rsidP="00126BF4">
      <w:r>
        <w:separator/>
      </w:r>
    </w:p>
  </w:footnote>
  <w:footnote w:type="continuationSeparator" w:id="0">
    <w:p w14:paraId="330268DD" w14:textId="77777777" w:rsidR="00581BE3" w:rsidRDefault="00581BE3" w:rsidP="00126B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8C9CD84E"/>
    <w:lvl w:ilvl="0">
      <w:start w:val="1"/>
      <w:numFmt w:val="decimal"/>
      <w:isLgl/>
      <w:lvlText w:val="%1."/>
      <w:lvlJc w:val="left"/>
      <w:pPr>
        <w:tabs>
          <w:tab w:val="num" w:pos="90"/>
        </w:tabs>
        <w:ind w:left="90" w:firstLine="180"/>
      </w:pPr>
      <w:rPr>
        <w:rFonts w:hint="default"/>
        <w:b w:val="0"/>
        <w:color w:val="000000"/>
        <w:position w:val="0"/>
        <w:sz w:val="24"/>
      </w:rPr>
    </w:lvl>
    <w:lvl w:ilvl="1">
      <w:start w:val="1"/>
      <w:numFmt w:val="lowerLetter"/>
      <w:lvlText w:val="%2."/>
      <w:lvlJc w:val="left"/>
      <w:pPr>
        <w:tabs>
          <w:tab w:val="num" w:pos="360"/>
        </w:tabs>
        <w:ind w:left="360" w:firstLine="1080"/>
      </w:pPr>
      <w:rPr>
        <w:rFonts w:hint="default"/>
        <w:color w:val="000000"/>
        <w:position w:val="0"/>
        <w:sz w:val="24"/>
      </w:rPr>
    </w:lvl>
    <w:lvl w:ilvl="2">
      <w:start w:val="1"/>
      <w:numFmt w:val="lowerRoman"/>
      <w:lvlText w:val="%3."/>
      <w:lvlJc w:val="left"/>
      <w:pPr>
        <w:tabs>
          <w:tab w:val="num" w:pos="408"/>
        </w:tabs>
        <w:ind w:left="408" w:firstLine="1752"/>
      </w:pPr>
      <w:rPr>
        <w:rFonts w:hint="default"/>
        <w:color w:val="000000"/>
        <w:position w:val="0"/>
        <w:sz w:val="24"/>
      </w:rPr>
    </w:lvl>
    <w:lvl w:ilvl="3">
      <w:start w:val="1"/>
      <w:numFmt w:val="decimal"/>
      <w:isLgl/>
      <w:lvlText w:val="%4."/>
      <w:lvlJc w:val="left"/>
      <w:pPr>
        <w:tabs>
          <w:tab w:val="num" w:pos="360"/>
        </w:tabs>
        <w:ind w:left="360" w:firstLine="2520"/>
      </w:pPr>
      <w:rPr>
        <w:rFonts w:hint="default"/>
        <w:color w:val="000000"/>
        <w:position w:val="0"/>
        <w:sz w:val="24"/>
      </w:rPr>
    </w:lvl>
    <w:lvl w:ilvl="4">
      <w:start w:val="1"/>
      <w:numFmt w:val="lowerLetter"/>
      <w:lvlText w:val="%5."/>
      <w:lvlJc w:val="left"/>
      <w:pPr>
        <w:tabs>
          <w:tab w:val="num" w:pos="360"/>
        </w:tabs>
        <w:ind w:left="360" w:firstLine="3240"/>
      </w:pPr>
      <w:rPr>
        <w:rFonts w:hint="default"/>
        <w:color w:val="000000"/>
        <w:position w:val="0"/>
        <w:sz w:val="24"/>
      </w:rPr>
    </w:lvl>
    <w:lvl w:ilvl="5">
      <w:start w:val="1"/>
      <w:numFmt w:val="lowerRoman"/>
      <w:lvlText w:val="%6."/>
      <w:lvlJc w:val="left"/>
      <w:pPr>
        <w:tabs>
          <w:tab w:val="num" w:pos="408"/>
        </w:tabs>
        <w:ind w:left="408" w:firstLine="3912"/>
      </w:pPr>
      <w:rPr>
        <w:rFonts w:hint="default"/>
        <w:color w:val="000000"/>
        <w:position w:val="0"/>
        <w:sz w:val="24"/>
      </w:rPr>
    </w:lvl>
    <w:lvl w:ilvl="6">
      <w:start w:val="1"/>
      <w:numFmt w:val="decimal"/>
      <w:isLgl/>
      <w:lvlText w:val="%7."/>
      <w:lvlJc w:val="left"/>
      <w:pPr>
        <w:tabs>
          <w:tab w:val="num" w:pos="360"/>
        </w:tabs>
        <w:ind w:left="360" w:firstLine="4680"/>
      </w:pPr>
      <w:rPr>
        <w:rFonts w:hint="default"/>
        <w:color w:val="000000"/>
        <w:position w:val="0"/>
        <w:sz w:val="24"/>
      </w:rPr>
    </w:lvl>
    <w:lvl w:ilvl="7">
      <w:start w:val="1"/>
      <w:numFmt w:val="lowerLetter"/>
      <w:lvlText w:val="%8."/>
      <w:lvlJc w:val="left"/>
      <w:pPr>
        <w:tabs>
          <w:tab w:val="num" w:pos="360"/>
        </w:tabs>
        <w:ind w:left="360" w:firstLine="5400"/>
      </w:pPr>
      <w:rPr>
        <w:rFonts w:hint="default"/>
        <w:color w:val="000000"/>
        <w:position w:val="0"/>
        <w:sz w:val="24"/>
      </w:rPr>
    </w:lvl>
    <w:lvl w:ilvl="8">
      <w:start w:val="1"/>
      <w:numFmt w:val="lowerRoman"/>
      <w:lvlText w:val="%9."/>
      <w:lvlJc w:val="left"/>
      <w:pPr>
        <w:tabs>
          <w:tab w:val="num" w:pos="408"/>
        </w:tabs>
        <w:ind w:left="408" w:firstLine="6072"/>
      </w:pPr>
      <w:rPr>
        <w:rFonts w:hint="default"/>
        <w:color w:val="000000"/>
        <w:position w:val="0"/>
        <w:sz w:val="24"/>
      </w:rPr>
    </w:lvl>
  </w:abstractNum>
  <w:abstractNum w:abstractNumId="1" w15:restartNumberingAfterBreak="0">
    <w:nsid w:val="00000004"/>
    <w:multiLevelType w:val="multilevel"/>
    <w:tmpl w:val="894EE876"/>
    <w:lvl w:ilvl="0">
      <w:start w:val="1"/>
      <w:numFmt w:val="lowerLetter"/>
      <w:lvlText w:val="(%1)"/>
      <w:lvlJc w:val="left"/>
      <w:pPr>
        <w:tabs>
          <w:tab w:val="num" w:pos="320"/>
        </w:tabs>
        <w:ind w:left="320" w:firstLine="1120"/>
      </w:pPr>
      <w:rPr>
        <w:rFonts w:hint="default"/>
        <w:color w:val="000000"/>
        <w:position w:val="0"/>
        <w:sz w:val="24"/>
      </w:rPr>
    </w:lvl>
    <w:lvl w:ilvl="1">
      <w:start w:val="1"/>
      <w:numFmt w:val="lowerLetter"/>
      <w:lvlText w:val="%2."/>
      <w:lvlJc w:val="left"/>
      <w:pPr>
        <w:tabs>
          <w:tab w:val="num" w:pos="360"/>
        </w:tabs>
        <w:ind w:left="360" w:firstLine="2560"/>
      </w:pPr>
      <w:rPr>
        <w:rFonts w:hint="default"/>
        <w:color w:val="000000"/>
        <w:position w:val="0"/>
        <w:sz w:val="24"/>
      </w:rPr>
    </w:lvl>
    <w:lvl w:ilvl="2">
      <w:start w:val="1"/>
      <w:numFmt w:val="lowerRoman"/>
      <w:lvlText w:val="%3."/>
      <w:lvlJc w:val="left"/>
      <w:pPr>
        <w:tabs>
          <w:tab w:val="num" w:pos="408"/>
        </w:tabs>
        <w:ind w:left="408" w:firstLine="3232"/>
      </w:pPr>
      <w:rPr>
        <w:rFonts w:hint="default"/>
        <w:color w:val="000000"/>
        <w:position w:val="0"/>
        <w:sz w:val="24"/>
      </w:rPr>
    </w:lvl>
    <w:lvl w:ilvl="3">
      <w:start w:val="1"/>
      <w:numFmt w:val="decimal"/>
      <w:isLgl/>
      <w:lvlText w:val="%4."/>
      <w:lvlJc w:val="left"/>
      <w:pPr>
        <w:tabs>
          <w:tab w:val="num" w:pos="360"/>
        </w:tabs>
        <w:ind w:left="360" w:firstLine="4000"/>
      </w:pPr>
      <w:rPr>
        <w:rFonts w:hint="default"/>
        <w:color w:val="000000"/>
        <w:position w:val="0"/>
        <w:sz w:val="24"/>
      </w:rPr>
    </w:lvl>
    <w:lvl w:ilvl="4">
      <w:start w:val="1"/>
      <w:numFmt w:val="lowerLetter"/>
      <w:lvlText w:val="%5."/>
      <w:lvlJc w:val="left"/>
      <w:pPr>
        <w:tabs>
          <w:tab w:val="num" w:pos="360"/>
        </w:tabs>
        <w:ind w:left="360" w:firstLine="4720"/>
      </w:pPr>
      <w:rPr>
        <w:rFonts w:hint="default"/>
        <w:color w:val="000000"/>
        <w:position w:val="0"/>
        <w:sz w:val="24"/>
      </w:rPr>
    </w:lvl>
    <w:lvl w:ilvl="5">
      <w:start w:val="1"/>
      <w:numFmt w:val="lowerRoman"/>
      <w:lvlText w:val="%6."/>
      <w:lvlJc w:val="left"/>
      <w:pPr>
        <w:tabs>
          <w:tab w:val="num" w:pos="408"/>
        </w:tabs>
        <w:ind w:left="408" w:firstLine="5392"/>
      </w:pPr>
      <w:rPr>
        <w:rFonts w:hint="default"/>
        <w:color w:val="000000"/>
        <w:position w:val="0"/>
        <w:sz w:val="24"/>
      </w:rPr>
    </w:lvl>
    <w:lvl w:ilvl="6">
      <w:start w:val="1"/>
      <w:numFmt w:val="decimal"/>
      <w:isLgl/>
      <w:lvlText w:val="%7."/>
      <w:lvlJc w:val="left"/>
      <w:pPr>
        <w:tabs>
          <w:tab w:val="num" w:pos="360"/>
        </w:tabs>
        <w:ind w:left="360" w:firstLine="6160"/>
      </w:pPr>
      <w:rPr>
        <w:rFonts w:hint="default"/>
        <w:color w:val="000000"/>
        <w:position w:val="0"/>
        <w:sz w:val="24"/>
      </w:rPr>
    </w:lvl>
    <w:lvl w:ilvl="7">
      <w:start w:val="1"/>
      <w:numFmt w:val="lowerLetter"/>
      <w:lvlText w:val="%8."/>
      <w:lvlJc w:val="left"/>
      <w:pPr>
        <w:tabs>
          <w:tab w:val="num" w:pos="360"/>
        </w:tabs>
        <w:ind w:left="360" w:firstLine="6880"/>
      </w:pPr>
      <w:rPr>
        <w:rFonts w:hint="default"/>
        <w:color w:val="000000"/>
        <w:position w:val="0"/>
        <w:sz w:val="24"/>
      </w:rPr>
    </w:lvl>
    <w:lvl w:ilvl="8">
      <w:start w:val="1"/>
      <w:numFmt w:val="lowerRoman"/>
      <w:lvlText w:val="%9."/>
      <w:lvlJc w:val="left"/>
      <w:pPr>
        <w:tabs>
          <w:tab w:val="num" w:pos="408"/>
        </w:tabs>
        <w:ind w:left="408" w:firstLine="7552"/>
      </w:pPr>
      <w:rPr>
        <w:rFonts w:hint="default"/>
        <w:color w:val="000000"/>
        <w:position w:val="0"/>
        <w:sz w:val="24"/>
      </w:rPr>
    </w:lvl>
  </w:abstractNum>
  <w:abstractNum w:abstractNumId="2" w15:restartNumberingAfterBreak="0">
    <w:nsid w:val="00000005"/>
    <w:multiLevelType w:val="multilevel"/>
    <w:tmpl w:val="894EE877"/>
    <w:lvl w:ilvl="0">
      <w:start w:val="1"/>
      <w:numFmt w:val="lowerLetter"/>
      <w:lvlText w:val="(%1)"/>
      <w:lvlJc w:val="left"/>
      <w:pPr>
        <w:tabs>
          <w:tab w:val="num" w:pos="360"/>
        </w:tabs>
        <w:ind w:left="360" w:firstLine="720"/>
      </w:pPr>
      <w:rPr>
        <w:rFonts w:hint="default"/>
        <w:color w:val="000000"/>
        <w:position w:val="0"/>
        <w:sz w:val="24"/>
      </w:rPr>
    </w:lvl>
    <w:lvl w:ilvl="1">
      <w:start w:val="1"/>
      <w:numFmt w:val="lowerLetter"/>
      <w:lvlText w:val="%2."/>
      <w:lvlJc w:val="left"/>
      <w:pPr>
        <w:tabs>
          <w:tab w:val="num" w:pos="360"/>
        </w:tabs>
        <w:ind w:left="360" w:firstLine="1440"/>
      </w:pPr>
      <w:rPr>
        <w:rFonts w:hint="default"/>
        <w:color w:val="000000"/>
        <w:position w:val="0"/>
        <w:sz w:val="24"/>
      </w:rPr>
    </w:lvl>
    <w:lvl w:ilvl="2">
      <w:start w:val="1"/>
      <w:numFmt w:val="lowerRoman"/>
      <w:lvlText w:val="%3."/>
      <w:lvlJc w:val="left"/>
      <w:pPr>
        <w:tabs>
          <w:tab w:val="num" w:pos="408"/>
        </w:tabs>
        <w:ind w:left="408" w:firstLine="2112"/>
      </w:pPr>
      <w:rPr>
        <w:rFonts w:hint="default"/>
        <w:color w:val="000000"/>
        <w:position w:val="0"/>
        <w:sz w:val="24"/>
      </w:rPr>
    </w:lvl>
    <w:lvl w:ilvl="3">
      <w:start w:val="1"/>
      <w:numFmt w:val="decimal"/>
      <w:isLgl/>
      <w:lvlText w:val="%4."/>
      <w:lvlJc w:val="left"/>
      <w:pPr>
        <w:tabs>
          <w:tab w:val="num" w:pos="360"/>
        </w:tabs>
        <w:ind w:left="360" w:firstLine="2880"/>
      </w:pPr>
      <w:rPr>
        <w:rFonts w:hint="default"/>
        <w:color w:val="000000"/>
        <w:position w:val="0"/>
        <w:sz w:val="24"/>
      </w:rPr>
    </w:lvl>
    <w:lvl w:ilvl="4">
      <w:start w:val="1"/>
      <w:numFmt w:val="lowerLetter"/>
      <w:lvlText w:val="%5."/>
      <w:lvlJc w:val="left"/>
      <w:pPr>
        <w:tabs>
          <w:tab w:val="num" w:pos="360"/>
        </w:tabs>
        <w:ind w:left="360" w:firstLine="3600"/>
      </w:pPr>
      <w:rPr>
        <w:rFonts w:hint="default"/>
        <w:color w:val="000000"/>
        <w:position w:val="0"/>
        <w:sz w:val="24"/>
      </w:rPr>
    </w:lvl>
    <w:lvl w:ilvl="5">
      <w:start w:val="1"/>
      <w:numFmt w:val="lowerRoman"/>
      <w:lvlText w:val="%6."/>
      <w:lvlJc w:val="left"/>
      <w:pPr>
        <w:tabs>
          <w:tab w:val="num" w:pos="408"/>
        </w:tabs>
        <w:ind w:left="408" w:firstLine="4272"/>
      </w:pPr>
      <w:rPr>
        <w:rFonts w:hint="default"/>
        <w:color w:val="000000"/>
        <w:position w:val="0"/>
        <w:sz w:val="24"/>
      </w:rPr>
    </w:lvl>
    <w:lvl w:ilvl="6">
      <w:start w:val="1"/>
      <w:numFmt w:val="decimal"/>
      <w:isLgl/>
      <w:lvlText w:val="%7."/>
      <w:lvlJc w:val="left"/>
      <w:pPr>
        <w:tabs>
          <w:tab w:val="num" w:pos="360"/>
        </w:tabs>
        <w:ind w:left="360" w:firstLine="5040"/>
      </w:pPr>
      <w:rPr>
        <w:rFonts w:hint="default"/>
        <w:color w:val="000000"/>
        <w:position w:val="0"/>
        <w:sz w:val="24"/>
      </w:rPr>
    </w:lvl>
    <w:lvl w:ilvl="7">
      <w:start w:val="1"/>
      <w:numFmt w:val="lowerLetter"/>
      <w:lvlText w:val="%8."/>
      <w:lvlJc w:val="left"/>
      <w:pPr>
        <w:tabs>
          <w:tab w:val="num" w:pos="360"/>
        </w:tabs>
        <w:ind w:left="360" w:firstLine="5760"/>
      </w:pPr>
      <w:rPr>
        <w:rFonts w:hint="default"/>
        <w:color w:val="000000"/>
        <w:position w:val="0"/>
        <w:sz w:val="24"/>
      </w:rPr>
    </w:lvl>
    <w:lvl w:ilvl="8">
      <w:start w:val="1"/>
      <w:numFmt w:val="lowerRoman"/>
      <w:lvlText w:val="%9."/>
      <w:lvlJc w:val="left"/>
      <w:pPr>
        <w:tabs>
          <w:tab w:val="num" w:pos="408"/>
        </w:tabs>
        <w:ind w:left="408" w:firstLine="6432"/>
      </w:pPr>
      <w:rPr>
        <w:rFonts w:hint="default"/>
        <w:color w:val="000000"/>
        <w:position w:val="0"/>
        <w:sz w:val="24"/>
      </w:rPr>
    </w:lvl>
  </w:abstractNum>
  <w:abstractNum w:abstractNumId="3" w15:restartNumberingAfterBreak="0">
    <w:nsid w:val="00000006"/>
    <w:multiLevelType w:val="multilevel"/>
    <w:tmpl w:val="894EE878"/>
    <w:lvl w:ilvl="0">
      <w:start w:val="1"/>
      <w:numFmt w:val="lowerLetter"/>
      <w:lvlText w:val="(%1)"/>
      <w:lvlJc w:val="left"/>
      <w:pPr>
        <w:tabs>
          <w:tab w:val="num" w:pos="360"/>
        </w:tabs>
        <w:ind w:left="360" w:firstLine="720"/>
      </w:pPr>
      <w:rPr>
        <w:rFonts w:hint="default"/>
        <w:color w:val="000000"/>
        <w:position w:val="0"/>
        <w:sz w:val="24"/>
      </w:rPr>
    </w:lvl>
    <w:lvl w:ilvl="1">
      <w:start w:val="1"/>
      <w:numFmt w:val="lowerLetter"/>
      <w:lvlText w:val="%2."/>
      <w:lvlJc w:val="left"/>
      <w:pPr>
        <w:tabs>
          <w:tab w:val="num" w:pos="360"/>
        </w:tabs>
        <w:ind w:left="360" w:firstLine="1440"/>
      </w:pPr>
      <w:rPr>
        <w:rFonts w:hint="default"/>
        <w:color w:val="000000"/>
        <w:position w:val="0"/>
        <w:sz w:val="24"/>
      </w:rPr>
    </w:lvl>
    <w:lvl w:ilvl="2">
      <w:start w:val="1"/>
      <w:numFmt w:val="lowerRoman"/>
      <w:lvlText w:val="%3."/>
      <w:lvlJc w:val="left"/>
      <w:pPr>
        <w:tabs>
          <w:tab w:val="num" w:pos="408"/>
        </w:tabs>
        <w:ind w:left="408" w:firstLine="2112"/>
      </w:pPr>
      <w:rPr>
        <w:rFonts w:hint="default"/>
        <w:color w:val="000000"/>
        <w:position w:val="0"/>
        <w:sz w:val="24"/>
      </w:rPr>
    </w:lvl>
    <w:lvl w:ilvl="3">
      <w:start w:val="1"/>
      <w:numFmt w:val="decimal"/>
      <w:isLgl/>
      <w:lvlText w:val="%4."/>
      <w:lvlJc w:val="left"/>
      <w:pPr>
        <w:tabs>
          <w:tab w:val="num" w:pos="360"/>
        </w:tabs>
        <w:ind w:left="360" w:firstLine="2880"/>
      </w:pPr>
      <w:rPr>
        <w:rFonts w:hint="default"/>
        <w:color w:val="000000"/>
        <w:position w:val="0"/>
        <w:sz w:val="24"/>
      </w:rPr>
    </w:lvl>
    <w:lvl w:ilvl="4">
      <w:start w:val="1"/>
      <w:numFmt w:val="lowerLetter"/>
      <w:lvlText w:val="%5."/>
      <w:lvlJc w:val="left"/>
      <w:pPr>
        <w:tabs>
          <w:tab w:val="num" w:pos="360"/>
        </w:tabs>
        <w:ind w:left="360" w:firstLine="3600"/>
      </w:pPr>
      <w:rPr>
        <w:rFonts w:hint="default"/>
        <w:color w:val="000000"/>
        <w:position w:val="0"/>
        <w:sz w:val="24"/>
      </w:rPr>
    </w:lvl>
    <w:lvl w:ilvl="5">
      <w:start w:val="1"/>
      <w:numFmt w:val="lowerRoman"/>
      <w:lvlText w:val="%6."/>
      <w:lvlJc w:val="left"/>
      <w:pPr>
        <w:tabs>
          <w:tab w:val="num" w:pos="408"/>
        </w:tabs>
        <w:ind w:left="408" w:firstLine="4272"/>
      </w:pPr>
      <w:rPr>
        <w:rFonts w:hint="default"/>
        <w:color w:val="000000"/>
        <w:position w:val="0"/>
        <w:sz w:val="24"/>
      </w:rPr>
    </w:lvl>
    <w:lvl w:ilvl="6">
      <w:start w:val="1"/>
      <w:numFmt w:val="decimal"/>
      <w:isLgl/>
      <w:lvlText w:val="%7."/>
      <w:lvlJc w:val="left"/>
      <w:pPr>
        <w:tabs>
          <w:tab w:val="num" w:pos="360"/>
        </w:tabs>
        <w:ind w:left="360" w:firstLine="5040"/>
      </w:pPr>
      <w:rPr>
        <w:rFonts w:hint="default"/>
        <w:color w:val="000000"/>
        <w:position w:val="0"/>
        <w:sz w:val="24"/>
      </w:rPr>
    </w:lvl>
    <w:lvl w:ilvl="7">
      <w:start w:val="1"/>
      <w:numFmt w:val="lowerLetter"/>
      <w:lvlText w:val="%8."/>
      <w:lvlJc w:val="left"/>
      <w:pPr>
        <w:tabs>
          <w:tab w:val="num" w:pos="360"/>
        </w:tabs>
        <w:ind w:left="360" w:firstLine="5760"/>
      </w:pPr>
      <w:rPr>
        <w:rFonts w:hint="default"/>
        <w:color w:val="000000"/>
        <w:position w:val="0"/>
        <w:sz w:val="24"/>
      </w:rPr>
    </w:lvl>
    <w:lvl w:ilvl="8">
      <w:start w:val="1"/>
      <w:numFmt w:val="lowerRoman"/>
      <w:lvlText w:val="%9."/>
      <w:lvlJc w:val="left"/>
      <w:pPr>
        <w:tabs>
          <w:tab w:val="num" w:pos="408"/>
        </w:tabs>
        <w:ind w:left="408" w:firstLine="6432"/>
      </w:pPr>
      <w:rPr>
        <w:rFonts w:hint="default"/>
        <w:color w:val="000000"/>
        <w:position w:val="0"/>
        <w:sz w:val="24"/>
      </w:rPr>
    </w:lvl>
  </w:abstractNum>
  <w:abstractNum w:abstractNumId="4" w15:restartNumberingAfterBreak="0">
    <w:nsid w:val="0129414C"/>
    <w:multiLevelType w:val="hybridMultilevel"/>
    <w:tmpl w:val="2F9E1D42"/>
    <w:lvl w:ilvl="0" w:tplc="F704F71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15407791"/>
    <w:multiLevelType w:val="multilevel"/>
    <w:tmpl w:val="A5B0CD24"/>
    <w:styleLink w:val="Numbering-Policy"/>
    <w:lvl w:ilvl="0">
      <w:start w:val="1"/>
      <w:numFmt w:val="upperRoman"/>
      <w:pStyle w:val="Heading1"/>
      <w:suff w:val="nothing"/>
      <w:lvlText w:val="Part %1"/>
      <w:lvlJc w:val="left"/>
      <w:pPr>
        <w:ind w:left="0" w:firstLine="0"/>
      </w:pPr>
      <w:rPr>
        <w:rFonts w:hint="default"/>
        <w:b/>
        <w:i w:val="0"/>
      </w:rPr>
    </w:lvl>
    <w:lvl w:ilvl="1">
      <w:start w:val="1"/>
      <w:numFmt w:val="decimal"/>
      <w:pStyle w:val="Heading2"/>
      <w:isLgl/>
      <w:lvlText w:val="%1.%2"/>
      <w:lvlJc w:val="left"/>
      <w:pPr>
        <w:ind w:left="720" w:hanging="720"/>
      </w:pPr>
      <w:rPr>
        <w:rFonts w:hint="default"/>
      </w:rPr>
    </w:lvl>
    <w:lvl w:ilvl="2">
      <w:start w:val="1"/>
      <w:numFmt w:val="lowerLetter"/>
      <w:pStyle w:val="Heading3"/>
      <w:lvlText w:val="(%3)"/>
      <w:lvlJc w:val="left"/>
      <w:pPr>
        <w:ind w:left="1440" w:hanging="720"/>
      </w:pPr>
      <w:rPr>
        <w:rFonts w:hint="default"/>
      </w:rPr>
    </w:lvl>
    <w:lvl w:ilvl="3">
      <w:start w:val="1"/>
      <w:numFmt w:val="lowerRoman"/>
      <w:pStyle w:val="Heading4"/>
      <w:lvlText w:val="(%4)"/>
      <w:lvlJc w:val="left"/>
      <w:pPr>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3D286661"/>
    <w:multiLevelType w:val="hybridMultilevel"/>
    <w:tmpl w:val="B2D6319E"/>
    <w:lvl w:ilvl="0" w:tplc="253A712C">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72870524"/>
    <w:multiLevelType w:val="hybridMultilevel"/>
    <w:tmpl w:val="D1B24AB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809372196">
    <w:abstractNumId w:val="0"/>
  </w:num>
  <w:num w:numId="2" w16cid:durableId="1082485492">
    <w:abstractNumId w:val="1"/>
  </w:num>
  <w:num w:numId="3" w16cid:durableId="177892431">
    <w:abstractNumId w:val="2"/>
  </w:num>
  <w:num w:numId="4" w16cid:durableId="1834565790">
    <w:abstractNumId w:val="3"/>
  </w:num>
  <w:num w:numId="5" w16cid:durableId="1628394880">
    <w:abstractNumId w:val="4"/>
  </w:num>
  <w:num w:numId="6" w16cid:durableId="989287102">
    <w:abstractNumId w:val="7"/>
  </w:num>
  <w:num w:numId="7" w16cid:durableId="1762480875">
    <w:abstractNumId w:val="6"/>
  </w:num>
  <w:num w:numId="8" w16cid:durableId="955914994">
    <w:abstractNumId w:val="5"/>
  </w:num>
  <w:num w:numId="9" w16cid:durableId="1018967839">
    <w:abstractNumId w:val="5"/>
  </w:num>
  <w:num w:numId="10" w16cid:durableId="163056767">
    <w:abstractNumId w:val="5"/>
  </w:num>
  <w:num w:numId="11" w16cid:durableId="1595166252">
    <w:abstractNumId w:val="5"/>
  </w:num>
  <w:num w:numId="12" w16cid:durableId="439574100">
    <w:abstractNumId w:val="5"/>
  </w:num>
  <w:num w:numId="13" w16cid:durableId="847328805">
    <w:abstractNumId w:val="5"/>
    <w:lvlOverride w:ilvl="0">
      <w:startOverride w:val="1"/>
      <w:lvl w:ilvl="0">
        <w:start w:val="1"/>
        <w:numFmt w:val="decimal"/>
        <w:pStyle w:val="Heading1"/>
        <w:lvlText w:val=""/>
        <w:lvlJc w:val="left"/>
      </w:lvl>
    </w:lvlOverride>
    <w:lvlOverride w:ilvl="1">
      <w:startOverride w:val="1"/>
      <w:lvl w:ilvl="1">
        <w:start w:val="1"/>
        <w:numFmt w:val="decimal"/>
        <w:pStyle w:val="Heading2"/>
        <w:isLgl/>
        <w:lvlText w:val="%1.%2"/>
        <w:lvlJc w:val="left"/>
        <w:pPr>
          <w:ind w:left="720" w:hanging="720"/>
        </w:pPr>
        <w:rPr>
          <w:rFonts w:hint="default"/>
        </w:rPr>
      </w:lvl>
    </w:lvlOverride>
    <w:lvlOverride w:ilvl="2">
      <w:startOverride w:val="1"/>
      <w:lvl w:ilvl="2">
        <w:start w:val="1"/>
        <w:numFmt w:val="decimal"/>
        <w:pStyle w:val="Heading3"/>
        <w:lvlText w:val=""/>
        <w:lvlJc w:val="left"/>
      </w:lvl>
    </w:lvlOverride>
    <w:lvlOverride w:ilvl="3">
      <w:startOverride w:val="1"/>
      <w:lvl w:ilvl="3">
        <w:start w:val="1"/>
        <w:numFmt w:val="decimal"/>
        <w:pStyle w:val="Heading4"/>
        <w:lvlText w:val=""/>
        <w:lvlJc w:val="left"/>
      </w:lvl>
    </w:lvlOverride>
    <w:lvlOverride w:ilvl="4">
      <w:startOverride w:val="1"/>
      <w:lvl w:ilvl="4">
        <w:start w:val="1"/>
        <w:numFmt w:val="decimal"/>
        <w:lvlText w:val=""/>
        <w:lvlJc w:val="left"/>
      </w:lvl>
    </w:lvlOverride>
  </w:num>
  <w:num w:numId="14" w16cid:durableId="1121415980">
    <w:abstractNumId w:val="5"/>
  </w:num>
  <w:num w:numId="15" w16cid:durableId="45811294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formatting="1"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05AD"/>
    <w:rsid w:val="000042CE"/>
    <w:rsid w:val="00006B2F"/>
    <w:rsid w:val="00022E0C"/>
    <w:rsid w:val="000232A3"/>
    <w:rsid w:val="000250E6"/>
    <w:rsid w:val="0003515F"/>
    <w:rsid w:val="00036F2D"/>
    <w:rsid w:val="00041B4F"/>
    <w:rsid w:val="00080F1B"/>
    <w:rsid w:val="000876EC"/>
    <w:rsid w:val="000A563B"/>
    <w:rsid w:val="000B7391"/>
    <w:rsid w:val="000D0A69"/>
    <w:rsid w:val="000E1A74"/>
    <w:rsid w:val="000F2400"/>
    <w:rsid w:val="000F40EF"/>
    <w:rsid w:val="001076F7"/>
    <w:rsid w:val="00126BF4"/>
    <w:rsid w:val="001954E4"/>
    <w:rsid w:val="001A11C6"/>
    <w:rsid w:val="00213081"/>
    <w:rsid w:val="002139DC"/>
    <w:rsid w:val="00236064"/>
    <w:rsid w:val="00240EEC"/>
    <w:rsid w:val="00251A3F"/>
    <w:rsid w:val="00261F46"/>
    <w:rsid w:val="0029315D"/>
    <w:rsid w:val="00297FBA"/>
    <w:rsid w:val="002A03C2"/>
    <w:rsid w:val="002C6463"/>
    <w:rsid w:val="002C7A6E"/>
    <w:rsid w:val="002E66D6"/>
    <w:rsid w:val="002F2E99"/>
    <w:rsid w:val="00304D54"/>
    <w:rsid w:val="00305988"/>
    <w:rsid w:val="00316531"/>
    <w:rsid w:val="0032517C"/>
    <w:rsid w:val="00357B8A"/>
    <w:rsid w:val="003B2FAF"/>
    <w:rsid w:val="003B6E0E"/>
    <w:rsid w:val="003C053A"/>
    <w:rsid w:val="003D1400"/>
    <w:rsid w:val="003F40A1"/>
    <w:rsid w:val="003F7DD6"/>
    <w:rsid w:val="00404DD3"/>
    <w:rsid w:val="004125FA"/>
    <w:rsid w:val="00420868"/>
    <w:rsid w:val="00431A6A"/>
    <w:rsid w:val="004407D2"/>
    <w:rsid w:val="004559AA"/>
    <w:rsid w:val="0045765A"/>
    <w:rsid w:val="004611CE"/>
    <w:rsid w:val="004634F4"/>
    <w:rsid w:val="00472DA8"/>
    <w:rsid w:val="004C151A"/>
    <w:rsid w:val="004C59EB"/>
    <w:rsid w:val="004D530B"/>
    <w:rsid w:val="004F50FE"/>
    <w:rsid w:val="00514984"/>
    <w:rsid w:val="00550DFC"/>
    <w:rsid w:val="00553F41"/>
    <w:rsid w:val="00574A38"/>
    <w:rsid w:val="00581BE3"/>
    <w:rsid w:val="00582C26"/>
    <w:rsid w:val="00596341"/>
    <w:rsid w:val="005C11D7"/>
    <w:rsid w:val="005C5848"/>
    <w:rsid w:val="005D74ED"/>
    <w:rsid w:val="005D7B41"/>
    <w:rsid w:val="005E7DC7"/>
    <w:rsid w:val="005F0B4B"/>
    <w:rsid w:val="005F153D"/>
    <w:rsid w:val="00612005"/>
    <w:rsid w:val="00626DC8"/>
    <w:rsid w:val="00630C01"/>
    <w:rsid w:val="00657F59"/>
    <w:rsid w:val="006739B7"/>
    <w:rsid w:val="00682B0E"/>
    <w:rsid w:val="00687E03"/>
    <w:rsid w:val="006B2290"/>
    <w:rsid w:val="006E3555"/>
    <w:rsid w:val="0072237B"/>
    <w:rsid w:val="00730E98"/>
    <w:rsid w:val="007537DA"/>
    <w:rsid w:val="00760019"/>
    <w:rsid w:val="0079518A"/>
    <w:rsid w:val="007A7F13"/>
    <w:rsid w:val="007B115E"/>
    <w:rsid w:val="007B1999"/>
    <w:rsid w:val="007D34A6"/>
    <w:rsid w:val="00800367"/>
    <w:rsid w:val="008174DE"/>
    <w:rsid w:val="00832355"/>
    <w:rsid w:val="00837EAF"/>
    <w:rsid w:val="008A2181"/>
    <w:rsid w:val="008D6153"/>
    <w:rsid w:val="008F3D17"/>
    <w:rsid w:val="00927191"/>
    <w:rsid w:val="00936055"/>
    <w:rsid w:val="00945253"/>
    <w:rsid w:val="00952CFE"/>
    <w:rsid w:val="00965574"/>
    <w:rsid w:val="009770E3"/>
    <w:rsid w:val="009915C6"/>
    <w:rsid w:val="00996B4A"/>
    <w:rsid w:val="009A6824"/>
    <w:rsid w:val="009B0E4E"/>
    <w:rsid w:val="009D38AF"/>
    <w:rsid w:val="00A004EC"/>
    <w:rsid w:val="00A4207D"/>
    <w:rsid w:val="00A679EF"/>
    <w:rsid w:val="00AA4605"/>
    <w:rsid w:val="00AA7B57"/>
    <w:rsid w:val="00AD4D8D"/>
    <w:rsid w:val="00AE0AD8"/>
    <w:rsid w:val="00AF370B"/>
    <w:rsid w:val="00AF76FA"/>
    <w:rsid w:val="00B011B1"/>
    <w:rsid w:val="00B74062"/>
    <w:rsid w:val="00B832CE"/>
    <w:rsid w:val="00B961E9"/>
    <w:rsid w:val="00BA252F"/>
    <w:rsid w:val="00BB224A"/>
    <w:rsid w:val="00BE1836"/>
    <w:rsid w:val="00C5194C"/>
    <w:rsid w:val="00C604DA"/>
    <w:rsid w:val="00C672D9"/>
    <w:rsid w:val="00CB6B3B"/>
    <w:rsid w:val="00CD4A80"/>
    <w:rsid w:val="00CD4E34"/>
    <w:rsid w:val="00CD6A30"/>
    <w:rsid w:val="00CF1E70"/>
    <w:rsid w:val="00D04AD0"/>
    <w:rsid w:val="00D065BA"/>
    <w:rsid w:val="00D2471F"/>
    <w:rsid w:val="00D30EF1"/>
    <w:rsid w:val="00D577AB"/>
    <w:rsid w:val="00D70334"/>
    <w:rsid w:val="00D70808"/>
    <w:rsid w:val="00D72DEB"/>
    <w:rsid w:val="00D82778"/>
    <w:rsid w:val="00DB0E65"/>
    <w:rsid w:val="00DC4922"/>
    <w:rsid w:val="00DD1450"/>
    <w:rsid w:val="00DD2B90"/>
    <w:rsid w:val="00DE05AD"/>
    <w:rsid w:val="00DE2D2B"/>
    <w:rsid w:val="00E001AB"/>
    <w:rsid w:val="00E13685"/>
    <w:rsid w:val="00E6133B"/>
    <w:rsid w:val="00E83100"/>
    <w:rsid w:val="00EB4DCC"/>
    <w:rsid w:val="00F0056C"/>
    <w:rsid w:val="00F03F20"/>
    <w:rsid w:val="00F20CC8"/>
    <w:rsid w:val="00F47803"/>
    <w:rsid w:val="00F5466A"/>
    <w:rsid w:val="00FB3356"/>
    <w:rsid w:val="00FB7113"/>
    <w:rsid w:val="00FC54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D6EEB2"/>
  <w15:docId w15:val="{7D1D8EBD-2E8D-4A75-8F62-261E2C4BF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3081"/>
    <w:pPr>
      <w:spacing w:after="0" w:line="240" w:lineRule="auto"/>
      <w:jc w:val="both"/>
    </w:pPr>
    <w:rPr>
      <w:rFonts w:ascii="Times New Roman" w:hAnsi="Times New Roman"/>
    </w:rPr>
  </w:style>
  <w:style w:type="paragraph" w:styleId="Heading1">
    <w:name w:val="heading 1"/>
    <w:basedOn w:val="Normal"/>
    <w:next w:val="Heading2"/>
    <w:link w:val="Heading1Char"/>
    <w:qFormat/>
    <w:rsid w:val="002A03C2"/>
    <w:pPr>
      <w:keepNext/>
      <w:keepLines/>
      <w:numPr>
        <w:numId w:val="12"/>
      </w:numPr>
      <w:spacing w:before="480" w:after="240"/>
      <w:jc w:val="center"/>
      <w:outlineLvl w:val="0"/>
    </w:pPr>
    <w:rPr>
      <w:rFonts w:ascii="Arial" w:hAnsi="Arial"/>
      <w:b/>
      <w:sz w:val="24"/>
    </w:rPr>
  </w:style>
  <w:style w:type="paragraph" w:styleId="Heading2">
    <w:name w:val="heading 2"/>
    <w:basedOn w:val="Normal"/>
    <w:link w:val="Heading2Char"/>
    <w:qFormat/>
    <w:rsid w:val="002A03C2"/>
    <w:pPr>
      <w:numPr>
        <w:ilvl w:val="1"/>
        <w:numId w:val="12"/>
      </w:numPr>
      <w:spacing w:after="240"/>
      <w:outlineLvl w:val="1"/>
    </w:pPr>
    <w:rPr>
      <w:rFonts w:ascii="Arial" w:hAnsi="Arial"/>
      <w:sz w:val="24"/>
    </w:rPr>
  </w:style>
  <w:style w:type="paragraph" w:styleId="Heading3">
    <w:name w:val="heading 3"/>
    <w:basedOn w:val="Normal"/>
    <w:link w:val="Heading3Char"/>
    <w:qFormat/>
    <w:rsid w:val="002A03C2"/>
    <w:pPr>
      <w:numPr>
        <w:ilvl w:val="2"/>
        <w:numId w:val="12"/>
      </w:numPr>
      <w:spacing w:before="240" w:after="240"/>
      <w:outlineLvl w:val="2"/>
    </w:pPr>
    <w:rPr>
      <w:rFonts w:ascii="Arial" w:hAnsi="Arial"/>
      <w:sz w:val="24"/>
    </w:rPr>
  </w:style>
  <w:style w:type="paragraph" w:styleId="Heading4">
    <w:name w:val="heading 4"/>
    <w:basedOn w:val="Normal"/>
    <w:link w:val="Heading4Char"/>
    <w:qFormat/>
    <w:rsid w:val="00C672D9"/>
    <w:pPr>
      <w:numPr>
        <w:ilvl w:val="3"/>
        <w:numId w:val="12"/>
      </w:numPr>
      <w:spacing w:before="240" w:after="240"/>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rsid w:val="00213081"/>
    <w:rPr>
      <w:rFonts w:ascii="Tahoma" w:hAnsi="Tahoma" w:cs="Tahoma"/>
      <w:sz w:val="16"/>
      <w:szCs w:val="16"/>
    </w:rPr>
  </w:style>
  <w:style w:type="character" w:customStyle="1" w:styleId="BalloonTextChar">
    <w:name w:val="Balloon Text Char"/>
    <w:basedOn w:val="DefaultParagraphFont"/>
    <w:link w:val="BalloonText"/>
    <w:semiHidden/>
    <w:rsid w:val="00213081"/>
    <w:rPr>
      <w:rFonts w:ascii="Tahoma" w:hAnsi="Tahoma" w:cs="Tahoma"/>
      <w:sz w:val="16"/>
      <w:szCs w:val="16"/>
    </w:rPr>
  </w:style>
  <w:style w:type="character" w:styleId="EndnoteReference">
    <w:name w:val="endnote reference"/>
    <w:basedOn w:val="DefaultParagraphFont"/>
    <w:semiHidden/>
    <w:rsid w:val="00213081"/>
    <w:rPr>
      <w:vertAlign w:val="superscript"/>
    </w:rPr>
  </w:style>
  <w:style w:type="paragraph" w:styleId="EndnoteText">
    <w:name w:val="endnote text"/>
    <w:basedOn w:val="Normal"/>
    <w:link w:val="EndnoteTextChar"/>
    <w:semiHidden/>
    <w:rsid w:val="00213081"/>
    <w:rPr>
      <w:sz w:val="20"/>
      <w:szCs w:val="20"/>
    </w:rPr>
  </w:style>
  <w:style w:type="character" w:customStyle="1" w:styleId="EndnoteTextChar">
    <w:name w:val="Endnote Text Char"/>
    <w:basedOn w:val="DefaultParagraphFont"/>
    <w:link w:val="EndnoteText"/>
    <w:semiHidden/>
    <w:rsid w:val="00213081"/>
    <w:rPr>
      <w:rFonts w:ascii="Times New Roman" w:hAnsi="Times New Roman"/>
      <w:sz w:val="20"/>
      <w:szCs w:val="20"/>
    </w:rPr>
  </w:style>
  <w:style w:type="character" w:styleId="FootnoteReference">
    <w:name w:val="footnote reference"/>
    <w:basedOn w:val="DefaultParagraphFont"/>
    <w:semiHidden/>
    <w:rsid w:val="00213081"/>
    <w:rPr>
      <w:vertAlign w:val="superscript"/>
    </w:rPr>
  </w:style>
  <w:style w:type="paragraph" w:styleId="FootnoteText">
    <w:name w:val="footnote text"/>
    <w:basedOn w:val="Normal"/>
    <w:link w:val="FootnoteTextChar"/>
    <w:semiHidden/>
    <w:rsid w:val="00213081"/>
    <w:rPr>
      <w:sz w:val="20"/>
      <w:szCs w:val="20"/>
    </w:rPr>
  </w:style>
  <w:style w:type="character" w:customStyle="1" w:styleId="FootnoteTextChar">
    <w:name w:val="Footnote Text Char"/>
    <w:basedOn w:val="DefaultParagraphFont"/>
    <w:link w:val="FootnoteText"/>
    <w:semiHidden/>
    <w:rsid w:val="00213081"/>
    <w:rPr>
      <w:rFonts w:ascii="Times New Roman" w:hAnsi="Times New Roman"/>
      <w:sz w:val="20"/>
      <w:szCs w:val="20"/>
    </w:rPr>
  </w:style>
  <w:style w:type="character" w:customStyle="1" w:styleId="Heading1Char">
    <w:name w:val="Heading 1 Char"/>
    <w:basedOn w:val="DefaultParagraphFont"/>
    <w:link w:val="Heading1"/>
    <w:rsid w:val="002A03C2"/>
    <w:rPr>
      <w:rFonts w:ascii="Arial" w:hAnsi="Arial"/>
      <w:b/>
      <w:sz w:val="24"/>
    </w:rPr>
  </w:style>
  <w:style w:type="character" w:customStyle="1" w:styleId="Heading2Char">
    <w:name w:val="Heading 2 Char"/>
    <w:basedOn w:val="DefaultParagraphFont"/>
    <w:link w:val="Heading2"/>
    <w:rsid w:val="002A03C2"/>
    <w:rPr>
      <w:rFonts w:ascii="Arial" w:hAnsi="Arial"/>
      <w:sz w:val="24"/>
    </w:rPr>
  </w:style>
  <w:style w:type="character" w:customStyle="1" w:styleId="Heading3Char">
    <w:name w:val="Heading 3 Char"/>
    <w:basedOn w:val="DefaultParagraphFont"/>
    <w:link w:val="Heading3"/>
    <w:rsid w:val="002A03C2"/>
    <w:rPr>
      <w:rFonts w:ascii="Arial" w:hAnsi="Arial"/>
      <w:sz w:val="24"/>
    </w:rPr>
  </w:style>
  <w:style w:type="character" w:customStyle="1" w:styleId="Heading4Char">
    <w:name w:val="Heading 4 Char"/>
    <w:basedOn w:val="DefaultParagraphFont"/>
    <w:link w:val="Heading4"/>
    <w:rsid w:val="00C672D9"/>
    <w:rPr>
      <w:rFonts w:ascii="Times New Roman" w:hAnsi="Times New Roman"/>
    </w:rPr>
  </w:style>
  <w:style w:type="table" w:styleId="LightGrid">
    <w:name w:val="Light Grid"/>
    <w:basedOn w:val="TableNormal"/>
    <w:uiPriority w:val="62"/>
    <w:rsid w:val="00213081"/>
    <w:pPr>
      <w:spacing w:after="0" w:line="240" w:lineRule="auto"/>
      <w:jc w:val="both"/>
    </w:pPr>
    <w:rPr>
      <w:rFonts w:ascii="Times New Roman" w:eastAsiaTheme="minorEastAsia" w:hAnsi="Times New Roman"/>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ListParagraph">
    <w:name w:val="List Paragraph"/>
    <w:qFormat/>
    <w:rsid w:val="00213081"/>
    <w:pPr>
      <w:spacing w:after="0" w:line="240" w:lineRule="auto"/>
      <w:ind w:left="720"/>
      <w:jc w:val="both"/>
    </w:pPr>
    <w:rPr>
      <w:rFonts w:ascii="Lucida Grande" w:eastAsia="ヒラギノ角ゴ Pro W3" w:hAnsi="Lucida Grande" w:cs="Times New Roman"/>
      <w:color w:val="000000"/>
      <w:sz w:val="24"/>
      <w:szCs w:val="20"/>
    </w:rPr>
  </w:style>
  <w:style w:type="numbering" w:customStyle="1" w:styleId="Numbering-Policy">
    <w:name w:val="Numbering - Policy"/>
    <w:uiPriority w:val="99"/>
    <w:rsid w:val="00213081"/>
    <w:pPr>
      <w:numPr>
        <w:numId w:val="8"/>
      </w:numPr>
    </w:pPr>
  </w:style>
  <w:style w:type="character" w:styleId="PlaceholderText">
    <w:name w:val="Placeholder Text"/>
    <w:basedOn w:val="DefaultParagraphFont"/>
    <w:uiPriority w:val="99"/>
    <w:semiHidden/>
    <w:rsid w:val="00213081"/>
    <w:rPr>
      <w:color w:val="808080"/>
    </w:rPr>
  </w:style>
  <w:style w:type="paragraph" w:customStyle="1" w:styleId="NormalBold">
    <w:name w:val="Normal Bold"/>
    <w:basedOn w:val="Normal"/>
    <w:qFormat/>
    <w:rsid w:val="000876EC"/>
    <w:rPr>
      <w:b/>
    </w:rPr>
  </w:style>
  <w:style w:type="paragraph" w:styleId="Subtitle">
    <w:name w:val="Subtitle"/>
    <w:basedOn w:val="Normal"/>
    <w:next w:val="Normal"/>
    <w:link w:val="SubtitleChar"/>
    <w:uiPriority w:val="11"/>
    <w:qFormat/>
    <w:rsid w:val="00630C01"/>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630C01"/>
    <w:rPr>
      <w:rFonts w:asciiTheme="majorHAnsi" w:eastAsiaTheme="majorEastAsia" w:hAnsiTheme="majorHAnsi" w:cstheme="majorBidi"/>
      <w:i/>
      <w:iCs/>
      <w:color w:val="4F81BD" w:themeColor="accent1"/>
      <w:spacing w:val="15"/>
      <w:sz w:val="24"/>
      <w:szCs w:val="24"/>
    </w:rPr>
  </w:style>
  <w:style w:type="paragraph" w:styleId="NormalWeb">
    <w:name w:val="Normal (Web)"/>
    <w:basedOn w:val="Normal"/>
    <w:uiPriority w:val="99"/>
    <w:semiHidden/>
    <w:unhideWhenUsed/>
    <w:rsid w:val="00D70808"/>
    <w:pPr>
      <w:spacing w:before="100" w:beforeAutospacing="1" w:after="100" w:afterAutospacing="1"/>
      <w:jc w:val="left"/>
    </w:pPr>
    <w:rPr>
      <w:rFonts w:eastAsia="Times New Roman" w:cs="Times New Roman"/>
      <w:sz w:val="24"/>
      <w:szCs w:val="24"/>
      <w:lang w:val="en-CA" w:eastAsia="en-CA"/>
    </w:rPr>
  </w:style>
  <w:style w:type="character" w:styleId="Strong">
    <w:name w:val="Strong"/>
    <w:basedOn w:val="DefaultParagraphFont"/>
    <w:uiPriority w:val="22"/>
    <w:qFormat/>
    <w:rsid w:val="00D70808"/>
    <w:rPr>
      <w:b/>
      <w:bCs/>
    </w:rPr>
  </w:style>
  <w:style w:type="paragraph" w:customStyle="1" w:styleId="Heading2Title">
    <w:name w:val="Heading 2 Title"/>
    <w:basedOn w:val="Normal"/>
    <w:link w:val="Heading2TitleChar"/>
    <w:qFormat/>
    <w:rsid w:val="00D70808"/>
    <w:pPr>
      <w:keepNext/>
      <w:spacing w:after="240"/>
    </w:pPr>
    <w:rPr>
      <w:rFonts w:eastAsia="Times New Roman" w:cs="Times New Roman"/>
      <w:b/>
      <w:sz w:val="24"/>
    </w:rPr>
  </w:style>
  <w:style w:type="character" w:customStyle="1" w:styleId="Heading2TitleChar">
    <w:name w:val="Heading 2 Title Char"/>
    <w:basedOn w:val="DefaultParagraphFont"/>
    <w:link w:val="Heading2Title"/>
    <w:rsid w:val="00D70808"/>
    <w:rPr>
      <w:rFonts w:ascii="Times New Roman" w:eastAsia="Times New Roman" w:hAnsi="Times New Roman" w:cs="Times New Roman"/>
      <w:b/>
      <w:sz w:val="24"/>
    </w:rPr>
  </w:style>
  <w:style w:type="character" w:styleId="CommentReference">
    <w:name w:val="annotation reference"/>
    <w:basedOn w:val="DefaultParagraphFont"/>
    <w:uiPriority w:val="99"/>
    <w:semiHidden/>
    <w:unhideWhenUsed/>
    <w:rsid w:val="00596341"/>
    <w:rPr>
      <w:sz w:val="16"/>
      <w:szCs w:val="16"/>
    </w:rPr>
  </w:style>
  <w:style w:type="paragraph" w:styleId="CommentText">
    <w:name w:val="annotation text"/>
    <w:basedOn w:val="Normal"/>
    <w:link w:val="CommentTextChar"/>
    <w:uiPriority w:val="99"/>
    <w:semiHidden/>
    <w:unhideWhenUsed/>
    <w:rsid w:val="00596341"/>
    <w:rPr>
      <w:sz w:val="20"/>
      <w:szCs w:val="20"/>
    </w:rPr>
  </w:style>
  <w:style w:type="character" w:customStyle="1" w:styleId="CommentTextChar">
    <w:name w:val="Comment Text Char"/>
    <w:basedOn w:val="DefaultParagraphFont"/>
    <w:link w:val="CommentText"/>
    <w:uiPriority w:val="99"/>
    <w:semiHidden/>
    <w:rsid w:val="00596341"/>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596341"/>
    <w:rPr>
      <w:b/>
      <w:bCs/>
    </w:rPr>
  </w:style>
  <w:style w:type="character" w:customStyle="1" w:styleId="CommentSubjectChar">
    <w:name w:val="Comment Subject Char"/>
    <w:basedOn w:val="CommentTextChar"/>
    <w:link w:val="CommentSubject"/>
    <w:uiPriority w:val="99"/>
    <w:semiHidden/>
    <w:rsid w:val="00596341"/>
    <w:rPr>
      <w:rFonts w:ascii="Times New Roman" w:hAnsi="Times New Roman"/>
      <w:b/>
      <w:bCs/>
      <w:sz w:val="20"/>
      <w:szCs w:val="20"/>
    </w:rPr>
  </w:style>
  <w:style w:type="paragraph" w:styleId="Revision">
    <w:name w:val="Revision"/>
    <w:hidden/>
    <w:uiPriority w:val="99"/>
    <w:semiHidden/>
    <w:rsid w:val="006E3555"/>
    <w:pPr>
      <w:spacing w:after="0" w:line="240" w:lineRule="auto"/>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565099">
      <w:bodyDiv w:val="1"/>
      <w:marLeft w:val="0"/>
      <w:marRight w:val="0"/>
      <w:marTop w:val="0"/>
      <w:marBottom w:val="0"/>
      <w:divBdr>
        <w:top w:val="none" w:sz="0" w:space="0" w:color="auto"/>
        <w:left w:val="none" w:sz="0" w:space="0" w:color="auto"/>
        <w:bottom w:val="none" w:sz="0" w:space="0" w:color="auto"/>
        <w:right w:val="none" w:sz="0" w:space="0" w:color="auto"/>
      </w:divBdr>
      <w:divsChild>
        <w:div w:id="1267663675">
          <w:marLeft w:val="0"/>
          <w:marRight w:val="0"/>
          <w:marTop w:val="0"/>
          <w:marBottom w:val="0"/>
          <w:divBdr>
            <w:top w:val="none" w:sz="0" w:space="0" w:color="auto"/>
            <w:left w:val="none" w:sz="0" w:space="0" w:color="auto"/>
            <w:bottom w:val="none" w:sz="0" w:space="0" w:color="auto"/>
            <w:right w:val="none" w:sz="0" w:space="0" w:color="auto"/>
          </w:divBdr>
          <w:divsChild>
            <w:div w:id="1695302502">
              <w:marLeft w:val="0"/>
              <w:marRight w:val="0"/>
              <w:marTop w:val="0"/>
              <w:marBottom w:val="0"/>
              <w:divBdr>
                <w:top w:val="none" w:sz="0" w:space="0" w:color="auto"/>
                <w:left w:val="none" w:sz="0" w:space="0" w:color="auto"/>
                <w:bottom w:val="none" w:sz="0" w:space="0" w:color="auto"/>
                <w:right w:val="none" w:sz="0" w:space="0" w:color="auto"/>
              </w:divBdr>
              <w:divsChild>
                <w:div w:id="1428690741">
                  <w:marLeft w:val="0"/>
                  <w:marRight w:val="0"/>
                  <w:marTop w:val="0"/>
                  <w:marBottom w:val="0"/>
                  <w:divBdr>
                    <w:top w:val="none" w:sz="0" w:space="0" w:color="auto"/>
                    <w:left w:val="single" w:sz="6" w:space="0" w:color="D9D9D8"/>
                    <w:bottom w:val="none" w:sz="0" w:space="0" w:color="auto"/>
                    <w:right w:val="single" w:sz="6" w:space="0" w:color="D9D9D8"/>
                  </w:divBdr>
                  <w:divsChild>
                    <w:div w:id="258217030">
                      <w:marLeft w:val="0"/>
                      <w:marRight w:val="0"/>
                      <w:marTop w:val="0"/>
                      <w:marBottom w:val="0"/>
                      <w:divBdr>
                        <w:top w:val="none" w:sz="0" w:space="8" w:color="D9D9D8"/>
                        <w:left w:val="none" w:sz="0" w:space="11" w:color="D9D9D8"/>
                        <w:bottom w:val="none" w:sz="0" w:space="15" w:color="D9D9D8"/>
                        <w:right w:val="none" w:sz="0" w:space="11" w:color="D9D9D8"/>
                      </w:divBdr>
                      <w:divsChild>
                        <w:div w:id="433405188">
                          <w:blockQuote w:val="1"/>
                          <w:marLeft w:val="720"/>
                          <w:marRight w:val="720"/>
                          <w:marTop w:val="100"/>
                          <w:marBottom w:val="100"/>
                          <w:divBdr>
                            <w:top w:val="none" w:sz="0" w:space="0" w:color="auto"/>
                            <w:left w:val="none" w:sz="0" w:space="0" w:color="auto"/>
                            <w:bottom w:val="none" w:sz="0" w:space="0" w:color="auto"/>
                            <w:right w:val="none" w:sz="0" w:space="0" w:color="auto"/>
                          </w:divBdr>
                        </w:div>
                        <w:div w:id="3942813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94066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073152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63226583">
                              <w:blockQuote w:val="1"/>
                              <w:marLeft w:val="720"/>
                              <w:marRight w:val="720"/>
                              <w:marTop w:val="100"/>
                              <w:marBottom w:val="100"/>
                              <w:divBdr>
                                <w:top w:val="none" w:sz="0" w:space="0" w:color="auto"/>
                                <w:left w:val="none" w:sz="0" w:space="0" w:color="auto"/>
                                <w:bottom w:val="none" w:sz="0" w:space="0" w:color="auto"/>
                                <w:right w:val="none" w:sz="0" w:space="0" w:color="auto"/>
                              </w:divBdr>
                            </w:div>
                            <w:div w:id="75330012">
                              <w:blockQuote w:val="1"/>
                              <w:marLeft w:val="720"/>
                              <w:marRight w:val="720"/>
                              <w:marTop w:val="100"/>
                              <w:marBottom w:val="100"/>
                              <w:divBdr>
                                <w:top w:val="none" w:sz="0" w:space="0" w:color="auto"/>
                                <w:left w:val="none" w:sz="0" w:space="0" w:color="auto"/>
                                <w:bottom w:val="none" w:sz="0" w:space="0" w:color="auto"/>
                                <w:right w:val="none" w:sz="0" w:space="0" w:color="auto"/>
                              </w:divBdr>
                            </w:div>
                            <w:div w:id="861020099">
                              <w:blockQuote w:val="1"/>
                              <w:marLeft w:val="720"/>
                              <w:marRight w:val="720"/>
                              <w:marTop w:val="100"/>
                              <w:marBottom w:val="100"/>
                              <w:divBdr>
                                <w:top w:val="none" w:sz="0" w:space="0" w:color="auto"/>
                                <w:left w:val="none" w:sz="0" w:space="0" w:color="auto"/>
                                <w:bottom w:val="none" w:sz="0" w:space="0" w:color="auto"/>
                                <w:right w:val="none" w:sz="0" w:space="0" w:color="auto"/>
                              </w:divBdr>
                            </w:div>
                            <w:div w:id="4146733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217450">
                          <w:blockQuote w:val="1"/>
                          <w:marLeft w:val="720"/>
                          <w:marRight w:val="720"/>
                          <w:marTop w:val="100"/>
                          <w:marBottom w:val="100"/>
                          <w:divBdr>
                            <w:top w:val="none" w:sz="0" w:space="0" w:color="auto"/>
                            <w:left w:val="none" w:sz="0" w:space="0" w:color="auto"/>
                            <w:bottom w:val="none" w:sz="0" w:space="0" w:color="auto"/>
                            <w:right w:val="none" w:sz="0" w:space="0" w:color="auto"/>
                          </w:divBdr>
                        </w:div>
                        <w:div w:id="688940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1623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025325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688879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CDE13C-3361-4FD8-B4BD-71785E1070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1283</Words>
  <Characters>7319</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University of Manitoba</Company>
  <LinksUpToDate>false</LinksUpToDate>
  <CharactersWithSpaces>8585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demkeyl</dc:creator>
  <cp:lastModifiedBy>Rowena Krentz</cp:lastModifiedBy>
  <cp:revision>2</cp:revision>
  <cp:lastPrinted>2022-05-02T13:46:00Z</cp:lastPrinted>
  <dcterms:created xsi:type="dcterms:W3CDTF">2022-09-09T19:01:00Z</dcterms:created>
  <dcterms:modified xsi:type="dcterms:W3CDTF">2022-09-09T19:01:00Z</dcterms:modified>
</cp:coreProperties>
</file>