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5" w:type="dxa"/>
        <w:jc w:val="center"/>
        <w:tblLook w:val="01E0" w:firstRow="1" w:lastRow="1" w:firstColumn="1" w:lastColumn="1" w:noHBand="0" w:noVBand="0"/>
      </w:tblPr>
      <w:tblGrid>
        <w:gridCol w:w="2316"/>
        <w:gridCol w:w="4630"/>
        <w:gridCol w:w="2829"/>
      </w:tblGrid>
      <w:tr w:rsidR="004F18E7" w:rsidRPr="004F18E7" w14:paraId="1731E8C9" w14:textId="77777777" w:rsidTr="00295483">
        <w:trPr>
          <w:trHeight w:val="709"/>
          <w:jc w:val="center"/>
        </w:trPr>
        <w:tc>
          <w:tcPr>
            <w:tcW w:w="2316" w:type="dxa"/>
          </w:tcPr>
          <w:p w14:paraId="468D9CB9" w14:textId="77777777" w:rsidR="004F18E7" w:rsidRPr="004F18E7" w:rsidRDefault="004F18E7" w:rsidP="004F18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C23DFF" w14:textId="77777777" w:rsidR="004F18E7" w:rsidRPr="004F18E7" w:rsidRDefault="004F18E7" w:rsidP="004F18E7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14:paraId="53D142D7" w14:textId="77777777" w:rsidR="004F18E7" w:rsidRPr="002918F6" w:rsidRDefault="004F18E7" w:rsidP="004F18E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918F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29" w:type="dxa"/>
            <w:vMerge w:val="restart"/>
            <w:tcBorders>
              <w:left w:val="nil"/>
            </w:tcBorders>
            <w:shd w:val="clear" w:color="auto" w:fill="auto"/>
          </w:tcPr>
          <w:p w14:paraId="1DFE1ED4" w14:textId="77777777" w:rsidR="004F18E7" w:rsidRPr="002918F6" w:rsidRDefault="004F18E7" w:rsidP="004F18E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  <w:p w14:paraId="38F173FF" w14:textId="77777777" w:rsidR="004F18E7" w:rsidRPr="002918F6" w:rsidRDefault="004F18E7" w:rsidP="004F18E7">
            <w:pPr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</w:p>
          <w:p w14:paraId="21FBD455" w14:textId="75D9ACA0" w:rsidR="004F18E7" w:rsidRPr="002918F6" w:rsidRDefault="004F18E7" w:rsidP="002918F6">
            <w:pPr>
              <w:spacing w:after="0" w:line="240" w:lineRule="auto"/>
              <w:ind w:left="600"/>
              <w:rPr>
                <w:rFonts w:ascii="Arial" w:eastAsia="Times New Roman" w:hAnsi="Arial" w:cs="Arial"/>
                <w:sz w:val="18"/>
                <w:szCs w:val="18"/>
              </w:rPr>
            </w:pPr>
            <w:r w:rsidRPr="002918F6">
              <w:rPr>
                <w:rFonts w:ascii="Arial" w:eastAsia="Times New Roman" w:hAnsi="Arial" w:cs="Arial"/>
                <w:sz w:val="18"/>
                <w:szCs w:val="18"/>
              </w:rPr>
              <w:t xml:space="preserve">191 Extended Education </w:t>
            </w:r>
          </w:p>
          <w:p w14:paraId="550D7A6C" w14:textId="77777777" w:rsidR="004F18E7" w:rsidRPr="002918F6" w:rsidRDefault="004F18E7" w:rsidP="002918F6">
            <w:pPr>
              <w:spacing w:after="0" w:line="240" w:lineRule="auto"/>
              <w:ind w:left="600"/>
              <w:rPr>
                <w:rFonts w:ascii="Arial" w:eastAsia="Times New Roman" w:hAnsi="Arial" w:cs="Arial"/>
                <w:sz w:val="18"/>
                <w:szCs w:val="18"/>
              </w:rPr>
            </w:pPr>
            <w:r w:rsidRPr="002918F6">
              <w:rPr>
                <w:rFonts w:ascii="Arial" w:eastAsia="Times New Roman" w:hAnsi="Arial" w:cs="Arial"/>
                <w:sz w:val="18"/>
                <w:szCs w:val="18"/>
              </w:rPr>
              <w:t>University of Manitoba</w:t>
            </w:r>
          </w:p>
          <w:p w14:paraId="011E6E42" w14:textId="77777777" w:rsidR="004F18E7" w:rsidRPr="002918F6" w:rsidRDefault="004F18E7" w:rsidP="002918F6">
            <w:pPr>
              <w:spacing w:after="0" w:line="240" w:lineRule="auto"/>
              <w:ind w:left="600"/>
              <w:rPr>
                <w:rFonts w:ascii="Arial" w:eastAsia="Times New Roman" w:hAnsi="Arial" w:cs="Arial"/>
                <w:sz w:val="18"/>
                <w:szCs w:val="18"/>
              </w:rPr>
            </w:pPr>
            <w:r w:rsidRPr="002918F6">
              <w:rPr>
                <w:rFonts w:ascii="Arial" w:eastAsia="Times New Roman" w:hAnsi="Arial" w:cs="Arial"/>
                <w:sz w:val="18"/>
                <w:szCs w:val="18"/>
              </w:rPr>
              <w:t>Winnipeg, Manitoba</w:t>
            </w:r>
          </w:p>
          <w:p w14:paraId="07789878" w14:textId="77777777" w:rsidR="004F18E7" w:rsidRPr="002918F6" w:rsidRDefault="004F18E7" w:rsidP="002918F6">
            <w:pPr>
              <w:spacing w:after="0" w:line="240" w:lineRule="auto"/>
              <w:ind w:left="600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2918F6">
              <w:rPr>
                <w:rFonts w:ascii="Arial" w:eastAsia="Times New Roman" w:hAnsi="Arial" w:cs="Arial"/>
                <w:sz w:val="18"/>
                <w:szCs w:val="18"/>
              </w:rPr>
              <w:t>Canada  R</w:t>
            </w:r>
            <w:proofErr w:type="gramEnd"/>
            <w:r w:rsidRPr="002918F6">
              <w:rPr>
                <w:rFonts w:ascii="Arial" w:eastAsia="Times New Roman" w:hAnsi="Arial" w:cs="Arial"/>
                <w:sz w:val="18"/>
                <w:szCs w:val="18"/>
              </w:rPr>
              <w:t>3T 2N2</w:t>
            </w:r>
          </w:p>
          <w:p w14:paraId="387DF9CE" w14:textId="77777777" w:rsidR="004F18E7" w:rsidRPr="002918F6" w:rsidRDefault="004F18E7" w:rsidP="002918F6">
            <w:pPr>
              <w:spacing w:after="0" w:line="240" w:lineRule="auto"/>
              <w:ind w:left="600"/>
              <w:rPr>
                <w:rFonts w:ascii="Arial" w:eastAsia="Times New Roman" w:hAnsi="Arial" w:cs="Arial"/>
                <w:sz w:val="18"/>
                <w:szCs w:val="18"/>
              </w:rPr>
            </w:pPr>
            <w:r w:rsidRPr="002918F6">
              <w:rPr>
                <w:rFonts w:ascii="Arial" w:eastAsia="Times New Roman" w:hAnsi="Arial" w:cs="Arial"/>
                <w:sz w:val="18"/>
                <w:szCs w:val="18"/>
              </w:rPr>
              <w:t>Tel</w:t>
            </w:r>
            <w:proofErr w:type="gramStart"/>
            <w:r w:rsidRPr="002918F6">
              <w:rPr>
                <w:rFonts w:ascii="Arial" w:eastAsia="Times New Roman" w:hAnsi="Arial" w:cs="Arial"/>
                <w:sz w:val="18"/>
                <w:szCs w:val="18"/>
              </w:rPr>
              <w:t>:  (</w:t>
            </w:r>
            <w:proofErr w:type="gramEnd"/>
            <w:r w:rsidRPr="002918F6">
              <w:rPr>
                <w:rFonts w:ascii="Arial" w:eastAsia="Times New Roman" w:hAnsi="Arial" w:cs="Arial"/>
                <w:sz w:val="18"/>
                <w:szCs w:val="18"/>
              </w:rPr>
              <w:t>204) 272-1631</w:t>
            </w:r>
          </w:p>
          <w:p w14:paraId="53E51A61" w14:textId="3AC0616C" w:rsidR="004F18E7" w:rsidRPr="002918F6" w:rsidRDefault="004F18E7" w:rsidP="004F18E7">
            <w:pPr>
              <w:spacing w:after="0" w:line="240" w:lineRule="auto"/>
              <w:ind w:right="12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4F18E7" w:rsidRPr="004F18E7" w14:paraId="70CCE9DC" w14:textId="77777777" w:rsidTr="00295483">
        <w:trPr>
          <w:trHeight w:hRule="exact" w:val="989"/>
          <w:jc w:val="center"/>
        </w:trPr>
        <w:tc>
          <w:tcPr>
            <w:tcW w:w="2316" w:type="dxa"/>
            <w:tcBorders>
              <w:right w:val="single" w:sz="4" w:space="0" w:color="auto"/>
            </w:tcBorders>
          </w:tcPr>
          <w:p w14:paraId="70BC2FEC" w14:textId="77777777" w:rsidR="004F18E7" w:rsidRPr="004F18E7" w:rsidRDefault="004F18E7" w:rsidP="004F18E7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4F18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CA" w:eastAsia="en-CA"/>
              </w:rPr>
              <w:drawing>
                <wp:inline distT="0" distB="0" distL="0" distR="0" wp14:anchorId="00348AC5" wp14:editId="7ABC6621">
                  <wp:extent cx="1327867" cy="642419"/>
                  <wp:effectExtent l="0" t="0" r="5715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manitoba.ca/admin/mco/brand/download/UM_Logo_VE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750" cy="80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0" w:type="dxa"/>
            <w:tcBorders>
              <w:left w:val="single" w:sz="4" w:space="0" w:color="auto"/>
            </w:tcBorders>
          </w:tcPr>
          <w:p w14:paraId="7E8766D1" w14:textId="77777777" w:rsidR="004F18E7" w:rsidRPr="002918F6" w:rsidRDefault="004F18E7" w:rsidP="004F18E7">
            <w:pPr>
              <w:tabs>
                <w:tab w:val="center" w:pos="4320"/>
                <w:tab w:val="right" w:pos="8640"/>
              </w:tabs>
              <w:spacing w:before="20" w:after="0" w:line="240" w:lineRule="auto"/>
              <w:rPr>
                <w:rFonts w:ascii="Arial" w:eastAsia="Times New Roman" w:hAnsi="Arial" w:cs="Arial"/>
                <w:smallCaps/>
                <w:sz w:val="18"/>
                <w:szCs w:val="18"/>
              </w:rPr>
            </w:pPr>
          </w:p>
          <w:p w14:paraId="787B9225" w14:textId="003C04BE" w:rsidR="004F18E7" w:rsidRPr="002918F6" w:rsidRDefault="004F18E7" w:rsidP="002918F6">
            <w:pPr>
              <w:tabs>
                <w:tab w:val="center" w:pos="4320"/>
                <w:tab w:val="right" w:pos="8640"/>
              </w:tabs>
              <w:spacing w:before="20"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2918F6">
              <w:rPr>
                <w:rFonts w:ascii="Arial" w:eastAsia="Times New Roman" w:hAnsi="Arial" w:cs="Arial"/>
                <w:smallCaps/>
                <w:sz w:val="26"/>
                <w:szCs w:val="26"/>
              </w:rPr>
              <w:t xml:space="preserve">Office of Risk </w:t>
            </w:r>
            <w:r w:rsidR="002918F6" w:rsidRPr="002918F6">
              <w:rPr>
                <w:rFonts w:ascii="Arial" w:eastAsia="Times New Roman" w:hAnsi="Arial" w:cs="Arial"/>
                <w:smallCaps/>
                <w:sz w:val="26"/>
                <w:szCs w:val="26"/>
              </w:rPr>
              <w:t>and Compliance</w:t>
            </w:r>
          </w:p>
        </w:tc>
        <w:tc>
          <w:tcPr>
            <w:tcW w:w="2829" w:type="dxa"/>
            <w:vMerge/>
            <w:shd w:val="clear" w:color="auto" w:fill="auto"/>
          </w:tcPr>
          <w:p w14:paraId="37A284C9" w14:textId="77777777" w:rsidR="004F18E7" w:rsidRPr="002918F6" w:rsidRDefault="004F18E7" w:rsidP="004F18E7">
            <w:pPr>
              <w:spacing w:after="0" w:line="240" w:lineRule="auto"/>
              <w:ind w:right="12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</w:tbl>
    <w:p w14:paraId="4C3C1155" w14:textId="77777777" w:rsidR="002918F6" w:rsidRDefault="002918F6" w:rsidP="00805948">
      <w:pPr>
        <w:spacing w:after="0"/>
        <w:rPr>
          <w:b/>
          <w:bCs/>
        </w:rPr>
      </w:pPr>
    </w:p>
    <w:p w14:paraId="224608CB" w14:textId="77777777" w:rsidR="002918F6" w:rsidRDefault="002918F6" w:rsidP="002918F6">
      <w:pPr>
        <w:spacing w:after="0"/>
        <w:jc w:val="center"/>
        <w:rPr>
          <w:b/>
          <w:bCs/>
        </w:rPr>
      </w:pPr>
    </w:p>
    <w:p w14:paraId="76DEB4A0" w14:textId="3B2918E6" w:rsidR="002918F6" w:rsidRPr="00794D2F" w:rsidRDefault="002918F6" w:rsidP="002918F6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794D2F">
        <w:rPr>
          <w:rFonts w:ascii="Arial" w:hAnsi="Arial" w:cs="Arial"/>
          <w:b/>
          <w:bCs/>
          <w:sz w:val="32"/>
          <w:szCs w:val="32"/>
        </w:rPr>
        <w:t>MEMORANDUM</w:t>
      </w:r>
    </w:p>
    <w:p w14:paraId="7D05350F" w14:textId="77777777" w:rsidR="002918F6" w:rsidRPr="00794D2F" w:rsidRDefault="002918F6" w:rsidP="00805948">
      <w:pPr>
        <w:spacing w:after="0"/>
        <w:rPr>
          <w:rFonts w:ascii="Arial" w:hAnsi="Arial" w:cs="Arial"/>
          <w:b/>
          <w:bCs/>
        </w:rPr>
      </w:pPr>
    </w:p>
    <w:p w14:paraId="174D2A8F" w14:textId="6CE84221" w:rsidR="000C799A" w:rsidRPr="00794D2F" w:rsidRDefault="004F18E7" w:rsidP="00805948">
      <w:pPr>
        <w:spacing w:after="0"/>
        <w:rPr>
          <w:rFonts w:ascii="Arial" w:hAnsi="Arial" w:cs="Arial"/>
          <w:b/>
          <w:bCs/>
        </w:rPr>
      </w:pPr>
      <w:r w:rsidRPr="00794D2F">
        <w:rPr>
          <w:rFonts w:ascii="Arial" w:hAnsi="Arial" w:cs="Arial"/>
          <w:b/>
          <w:bCs/>
        </w:rPr>
        <w:t>Date:</w:t>
      </w:r>
      <w:r w:rsidRPr="00794D2F">
        <w:rPr>
          <w:rFonts w:ascii="Arial" w:hAnsi="Arial" w:cs="Arial"/>
          <w:b/>
          <w:bCs/>
        </w:rPr>
        <w:tab/>
      </w:r>
      <w:r w:rsidR="009136DA">
        <w:rPr>
          <w:color w:val="000000"/>
          <w:lang w:val="en-CA"/>
        </w:rPr>
        <w:t>December 19</w:t>
      </w:r>
      <w:r w:rsidR="00F17246">
        <w:rPr>
          <w:color w:val="000000"/>
          <w:lang w:val="en-CA"/>
        </w:rPr>
        <w:t>, 20</w:t>
      </w:r>
      <w:r w:rsidR="00F17246">
        <w:rPr>
          <w:lang w:val="en-CA"/>
        </w:rPr>
        <w:t>2</w:t>
      </w:r>
      <w:r w:rsidR="00815158">
        <w:rPr>
          <w:lang w:val="en-CA"/>
        </w:rPr>
        <w:t>2</w:t>
      </w:r>
      <w:r w:rsidRPr="00794D2F">
        <w:rPr>
          <w:rFonts w:ascii="Arial" w:hAnsi="Arial" w:cs="Arial"/>
          <w:b/>
          <w:bCs/>
        </w:rPr>
        <w:tab/>
      </w:r>
    </w:p>
    <w:p w14:paraId="7FEDD0BC" w14:textId="77777777" w:rsidR="006D4049" w:rsidRPr="00794D2F" w:rsidRDefault="006D4049" w:rsidP="00805948">
      <w:pPr>
        <w:spacing w:after="0"/>
        <w:rPr>
          <w:rFonts w:ascii="Arial" w:hAnsi="Arial" w:cs="Arial"/>
        </w:rPr>
      </w:pPr>
    </w:p>
    <w:p w14:paraId="3615DC07" w14:textId="715410E9" w:rsidR="006D4049" w:rsidRPr="00F17246" w:rsidRDefault="004F18E7" w:rsidP="00F17246">
      <w:pPr>
        <w:rPr>
          <w:lang w:val="en-CA"/>
        </w:rPr>
      </w:pPr>
      <w:r w:rsidRPr="00794D2F">
        <w:rPr>
          <w:rFonts w:ascii="Arial" w:hAnsi="Arial" w:cs="Arial"/>
          <w:b/>
          <w:bCs/>
        </w:rPr>
        <w:t>To:</w:t>
      </w:r>
      <w:r w:rsidR="00F17246">
        <w:rPr>
          <w:rFonts w:ascii="Arial" w:hAnsi="Arial" w:cs="Arial"/>
          <w:b/>
          <w:bCs/>
        </w:rPr>
        <w:tab/>
      </w:r>
      <w:r w:rsidR="00F17246">
        <w:rPr>
          <w:lang w:val="en-CA"/>
        </w:rPr>
        <w:t xml:space="preserve">All Staff, Faculty, and Students </w:t>
      </w:r>
    </w:p>
    <w:p w14:paraId="3DC22CB2" w14:textId="2F19C51A" w:rsidR="006D4049" w:rsidRPr="00794D2F" w:rsidRDefault="004F18E7" w:rsidP="00805948">
      <w:pPr>
        <w:spacing w:after="0"/>
        <w:rPr>
          <w:rFonts w:ascii="Arial" w:hAnsi="Arial" w:cs="Arial"/>
          <w:b/>
          <w:bCs/>
        </w:rPr>
      </w:pPr>
      <w:r w:rsidRPr="00794D2F">
        <w:rPr>
          <w:rFonts w:ascii="Arial" w:hAnsi="Arial" w:cs="Arial"/>
          <w:b/>
          <w:bCs/>
        </w:rPr>
        <w:t>From:</w:t>
      </w:r>
      <w:r w:rsidRPr="00794D2F">
        <w:rPr>
          <w:rFonts w:ascii="Arial" w:hAnsi="Arial" w:cs="Arial"/>
          <w:b/>
          <w:bCs/>
        </w:rPr>
        <w:tab/>
      </w:r>
      <w:r w:rsidR="00F17246">
        <w:rPr>
          <w:lang w:val="en-CA"/>
        </w:rPr>
        <w:t>Karen Meelker, Executive Director, Risk and Compliance</w:t>
      </w:r>
      <w:r w:rsidRPr="00794D2F">
        <w:rPr>
          <w:rFonts w:ascii="Arial" w:hAnsi="Arial" w:cs="Arial"/>
          <w:b/>
          <w:bCs/>
        </w:rPr>
        <w:tab/>
      </w:r>
    </w:p>
    <w:p w14:paraId="034D5529" w14:textId="47993E37" w:rsidR="006D4049" w:rsidRPr="00794D2F" w:rsidRDefault="006D4049" w:rsidP="00805948">
      <w:pPr>
        <w:spacing w:after="0"/>
        <w:rPr>
          <w:rFonts w:ascii="Arial" w:hAnsi="Arial" w:cs="Arial"/>
        </w:rPr>
      </w:pPr>
    </w:p>
    <w:p w14:paraId="5CF4A11D" w14:textId="3F18D329" w:rsidR="002918F6" w:rsidRPr="00794D2F" w:rsidRDefault="002918F6" w:rsidP="00805948">
      <w:pPr>
        <w:spacing w:after="0"/>
        <w:rPr>
          <w:rFonts w:ascii="Arial" w:hAnsi="Arial" w:cs="Arial"/>
          <w:b/>
          <w:bCs/>
        </w:rPr>
      </w:pPr>
      <w:r w:rsidRPr="00794D2F">
        <w:rPr>
          <w:rFonts w:ascii="Arial" w:hAnsi="Arial" w:cs="Arial"/>
          <w:b/>
          <w:bCs/>
        </w:rPr>
        <w:t>RE:</w:t>
      </w:r>
      <w:r w:rsidR="00F17246">
        <w:rPr>
          <w:rFonts w:ascii="Arial" w:hAnsi="Arial" w:cs="Arial"/>
          <w:b/>
          <w:bCs/>
        </w:rPr>
        <w:tab/>
      </w:r>
      <w:r w:rsidR="00F17246">
        <w:rPr>
          <w:lang w:val="en-CA"/>
        </w:rPr>
        <w:t>University Holiday Closing – 202</w:t>
      </w:r>
      <w:r w:rsidR="00815158">
        <w:rPr>
          <w:lang w:val="en-CA"/>
        </w:rPr>
        <w:t>2</w:t>
      </w:r>
      <w:r w:rsidR="00F17246">
        <w:rPr>
          <w:lang w:val="en-CA"/>
        </w:rPr>
        <w:t>/202</w:t>
      </w:r>
      <w:r w:rsidR="00815158">
        <w:rPr>
          <w:lang w:val="en-CA"/>
        </w:rPr>
        <w:t>3</w:t>
      </w:r>
    </w:p>
    <w:p w14:paraId="462C012A" w14:textId="77777777" w:rsidR="004F18E7" w:rsidRPr="002918F6" w:rsidRDefault="004F18E7" w:rsidP="002918F6">
      <w:pPr>
        <w:pBdr>
          <w:bottom w:val="single" w:sz="24" w:space="1" w:color="auto"/>
        </w:pBdr>
        <w:spacing w:after="0"/>
        <w:rPr>
          <w:rFonts w:ascii="Arial" w:hAnsi="Arial" w:cs="Arial"/>
        </w:rPr>
      </w:pPr>
    </w:p>
    <w:p w14:paraId="13E5F189" w14:textId="77777777" w:rsidR="00A926D2" w:rsidRDefault="00A926D2" w:rsidP="00A926D2">
      <w:pPr>
        <w:pStyle w:val="BodyText"/>
        <w:ind w:left="100" w:right="130"/>
        <w:rPr>
          <w:rFonts w:asciiTheme="minorHAnsi" w:hAnsiTheme="minorHAnsi" w:cstheme="minorHAnsi"/>
        </w:rPr>
      </w:pPr>
    </w:p>
    <w:p w14:paraId="453D6451" w14:textId="3612522D" w:rsidR="00A926D2" w:rsidRPr="00A926D2" w:rsidRDefault="00A926D2" w:rsidP="00A926D2">
      <w:pPr>
        <w:pStyle w:val="BodyText"/>
        <w:ind w:left="100" w:right="130"/>
        <w:rPr>
          <w:rFonts w:asciiTheme="minorHAnsi" w:hAnsiTheme="minorHAnsi" w:cstheme="minorHAnsi"/>
          <w:sz w:val="22"/>
          <w:szCs w:val="22"/>
        </w:rPr>
      </w:pPr>
      <w:r w:rsidRPr="00A926D2">
        <w:rPr>
          <w:rFonts w:asciiTheme="minorHAnsi" w:hAnsiTheme="minorHAnsi" w:cstheme="minorHAnsi"/>
          <w:sz w:val="22"/>
          <w:szCs w:val="22"/>
        </w:rPr>
        <w:t xml:space="preserve">The University will close for this Holiday Season at 4:30 p.m. on </w:t>
      </w:r>
      <w:r w:rsidR="00815158">
        <w:rPr>
          <w:rFonts w:asciiTheme="minorHAnsi" w:hAnsiTheme="minorHAnsi" w:cstheme="minorHAnsi"/>
          <w:sz w:val="22"/>
          <w:szCs w:val="22"/>
        </w:rPr>
        <w:t>Fr</w:t>
      </w:r>
      <w:r w:rsidR="00F666A1">
        <w:rPr>
          <w:rFonts w:asciiTheme="minorHAnsi" w:hAnsiTheme="minorHAnsi" w:cstheme="minorHAnsi"/>
          <w:sz w:val="22"/>
          <w:szCs w:val="22"/>
        </w:rPr>
        <w:t>i</w:t>
      </w:r>
      <w:r w:rsidRPr="00A926D2">
        <w:rPr>
          <w:rFonts w:asciiTheme="minorHAnsi" w:hAnsiTheme="minorHAnsi" w:cstheme="minorHAnsi"/>
          <w:sz w:val="22"/>
          <w:szCs w:val="22"/>
        </w:rPr>
        <w:t xml:space="preserve">day, December 23, </w:t>
      </w:r>
      <w:proofErr w:type="gramStart"/>
      <w:r w:rsidRPr="00A926D2">
        <w:rPr>
          <w:rFonts w:asciiTheme="minorHAnsi" w:hAnsiTheme="minorHAnsi" w:cstheme="minorHAnsi"/>
          <w:sz w:val="22"/>
          <w:szCs w:val="22"/>
        </w:rPr>
        <w:t>202</w:t>
      </w:r>
      <w:r w:rsidR="00815158">
        <w:rPr>
          <w:rFonts w:asciiTheme="minorHAnsi" w:hAnsiTheme="minorHAnsi" w:cstheme="minorHAnsi"/>
          <w:sz w:val="22"/>
          <w:szCs w:val="22"/>
        </w:rPr>
        <w:t>2</w:t>
      </w:r>
      <w:proofErr w:type="gramEnd"/>
      <w:r w:rsidRPr="00A926D2">
        <w:rPr>
          <w:rFonts w:asciiTheme="minorHAnsi" w:hAnsiTheme="minorHAnsi" w:cstheme="minorHAnsi"/>
          <w:sz w:val="22"/>
          <w:szCs w:val="22"/>
        </w:rPr>
        <w:t xml:space="preserve"> and resume full operations on </w:t>
      </w:r>
      <w:r w:rsidR="009136DA">
        <w:rPr>
          <w:rFonts w:asciiTheme="minorHAnsi" w:hAnsiTheme="minorHAnsi" w:cstheme="minorHAnsi"/>
          <w:sz w:val="22"/>
          <w:szCs w:val="22"/>
        </w:rPr>
        <w:t>Wednes</w:t>
      </w:r>
      <w:r w:rsidR="009136DA" w:rsidRPr="00A926D2">
        <w:rPr>
          <w:rFonts w:asciiTheme="minorHAnsi" w:hAnsiTheme="minorHAnsi" w:cstheme="minorHAnsi"/>
          <w:sz w:val="22"/>
          <w:szCs w:val="22"/>
        </w:rPr>
        <w:t>day</w:t>
      </w:r>
      <w:r w:rsidRPr="00A926D2">
        <w:rPr>
          <w:rFonts w:asciiTheme="minorHAnsi" w:hAnsiTheme="minorHAnsi" w:cstheme="minorHAnsi"/>
          <w:sz w:val="22"/>
          <w:szCs w:val="22"/>
        </w:rPr>
        <w:t xml:space="preserve">, January </w:t>
      </w:r>
      <w:r w:rsidR="009136DA">
        <w:rPr>
          <w:rFonts w:asciiTheme="minorHAnsi" w:hAnsiTheme="minorHAnsi" w:cstheme="minorHAnsi"/>
          <w:sz w:val="22"/>
          <w:szCs w:val="22"/>
        </w:rPr>
        <w:t>4</w:t>
      </w:r>
      <w:r w:rsidR="00815158">
        <w:rPr>
          <w:rFonts w:asciiTheme="minorHAnsi" w:hAnsiTheme="minorHAnsi" w:cstheme="minorHAnsi"/>
          <w:sz w:val="22"/>
          <w:szCs w:val="22"/>
        </w:rPr>
        <w:t>,</w:t>
      </w:r>
      <w:r w:rsidRPr="00A926D2">
        <w:rPr>
          <w:rFonts w:asciiTheme="minorHAnsi" w:hAnsiTheme="minorHAnsi" w:cstheme="minorHAnsi"/>
          <w:sz w:val="22"/>
          <w:szCs w:val="22"/>
        </w:rPr>
        <w:t xml:space="preserve"> 202</w:t>
      </w:r>
      <w:r w:rsidR="00815158">
        <w:rPr>
          <w:rFonts w:asciiTheme="minorHAnsi" w:hAnsiTheme="minorHAnsi" w:cstheme="minorHAnsi"/>
          <w:sz w:val="22"/>
          <w:szCs w:val="22"/>
        </w:rPr>
        <w:t>3</w:t>
      </w:r>
      <w:r w:rsidRPr="00A926D2">
        <w:rPr>
          <w:rFonts w:asciiTheme="minorHAnsi" w:hAnsiTheme="minorHAnsi" w:cstheme="minorHAnsi"/>
          <w:sz w:val="22"/>
          <w:szCs w:val="22"/>
        </w:rPr>
        <w:t xml:space="preserve"> at both Fort Garry and </w:t>
      </w:r>
      <w:proofErr w:type="spellStart"/>
      <w:r w:rsidRPr="00A926D2">
        <w:rPr>
          <w:rFonts w:asciiTheme="minorHAnsi" w:hAnsiTheme="minorHAnsi" w:cstheme="minorHAnsi"/>
          <w:sz w:val="22"/>
          <w:szCs w:val="22"/>
        </w:rPr>
        <w:t>Bannatyne</w:t>
      </w:r>
      <w:proofErr w:type="spellEnd"/>
      <w:r w:rsidRPr="00A926D2">
        <w:rPr>
          <w:rFonts w:asciiTheme="minorHAnsi" w:hAnsiTheme="minorHAnsi" w:cstheme="minorHAnsi"/>
          <w:sz w:val="22"/>
          <w:szCs w:val="22"/>
        </w:rPr>
        <w:t xml:space="preserve"> Campuses.  University buildings will be locked during this period with exceptions and special circumstances as noted on the Appendix to this memorandum.</w:t>
      </w:r>
    </w:p>
    <w:p w14:paraId="5F3E63EC" w14:textId="77777777" w:rsidR="00A926D2" w:rsidRPr="00A926D2" w:rsidRDefault="00A926D2" w:rsidP="00A926D2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778C2F2B" w14:textId="77777777" w:rsidR="00A926D2" w:rsidRPr="00A926D2" w:rsidRDefault="00A926D2" w:rsidP="00A926D2">
      <w:pPr>
        <w:pStyle w:val="BodyText"/>
        <w:ind w:left="100"/>
        <w:rPr>
          <w:rFonts w:asciiTheme="minorHAnsi" w:hAnsiTheme="minorHAnsi" w:cstheme="minorHAnsi"/>
          <w:sz w:val="22"/>
          <w:szCs w:val="22"/>
        </w:rPr>
      </w:pPr>
      <w:r w:rsidRPr="00A926D2">
        <w:rPr>
          <w:rFonts w:asciiTheme="minorHAnsi" w:hAnsiTheme="minorHAnsi" w:cstheme="minorHAnsi"/>
          <w:sz w:val="22"/>
          <w:szCs w:val="22"/>
        </w:rPr>
        <w:t>During the holiday closure period, please be advised of the following:</w:t>
      </w:r>
    </w:p>
    <w:p w14:paraId="57FA8E0A" w14:textId="77777777" w:rsidR="00A926D2" w:rsidRPr="00A926D2" w:rsidRDefault="00A926D2" w:rsidP="00A926D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227F491" w14:textId="77777777" w:rsidR="00A926D2" w:rsidRPr="00A926D2" w:rsidRDefault="00A926D2" w:rsidP="00A926D2">
      <w:pPr>
        <w:pStyle w:val="ListParagraph"/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after="0" w:line="240" w:lineRule="auto"/>
        <w:ind w:hanging="361"/>
        <w:contextualSpacing w:val="0"/>
        <w:rPr>
          <w:rFonts w:cstheme="minorHAnsi"/>
        </w:rPr>
      </w:pPr>
      <w:r w:rsidRPr="00A926D2">
        <w:rPr>
          <w:rFonts w:cstheme="minorHAnsi"/>
        </w:rPr>
        <w:t xml:space="preserve">there will be no routine trades, caretaking, </w:t>
      </w:r>
      <w:proofErr w:type="gramStart"/>
      <w:r w:rsidRPr="00A926D2">
        <w:rPr>
          <w:rFonts w:cstheme="minorHAnsi"/>
        </w:rPr>
        <w:t>grounds</w:t>
      </w:r>
      <w:proofErr w:type="gramEnd"/>
      <w:r w:rsidRPr="00A926D2">
        <w:rPr>
          <w:rFonts w:cstheme="minorHAnsi"/>
        </w:rPr>
        <w:t xml:space="preserve"> or delivery</w:t>
      </w:r>
      <w:r w:rsidRPr="00A926D2">
        <w:rPr>
          <w:rFonts w:cstheme="minorHAnsi"/>
          <w:spacing w:val="-8"/>
        </w:rPr>
        <w:t xml:space="preserve"> </w:t>
      </w:r>
      <w:r w:rsidRPr="00A926D2">
        <w:rPr>
          <w:rFonts w:cstheme="minorHAnsi"/>
        </w:rPr>
        <w:t>services</w:t>
      </w:r>
    </w:p>
    <w:p w14:paraId="11DE3DD6" w14:textId="77777777" w:rsidR="00A926D2" w:rsidRPr="00A926D2" w:rsidRDefault="00A926D2" w:rsidP="00A926D2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15F70872" w14:textId="5A515122" w:rsidR="00A926D2" w:rsidRPr="00A926D2" w:rsidRDefault="00A926D2" w:rsidP="00A926D2">
      <w:pPr>
        <w:pStyle w:val="ListParagraph"/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after="0" w:line="240" w:lineRule="auto"/>
        <w:ind w:right="515"/>
        <w:contextualSpacing w:val="0"/>
        <w:rPr>
          <w:rFonts w:cstheme="minorHAnsi"/>
        </w:rPr>
      </w:pPr>
      <w:r w:rsidRPr="00A926D2">
        <w:rPr>
          <w:rFonts w:cstheme="minorHAnsi"/>
        </w:rPr>
        <w:t>elevators will remain in operation as all passenger elevators are equipped with an</w:t>
      </w:r>
      <w:r w:rsidRPr="00A926D2">
        <w:rPr>
          <w:rFonts w:cstheme="minorHAnsi"/>
          <w:spacing w:val="-29"/>
        </w:rPr>
        <w:t xml:space="preserve"> </w:t>
      </w:r>
      <w:r w:rsidRPr="00A926D2">
        <w:rPr>
          <w:rFonts w:cstheme="minorHAnsi"/>
        </w:rPr>
        <w:t>emergency telephon</w:t>
      </w:r>
      <w:r w:rsidR="00B74351">
        <w:rPr>
          <w:rFonts w:cstheme="minorHAnsi"/>
        </w:rPr>
        <w:t>e</w:t>
      </w:r>
    </w:p>
    <w:p w14:paraId="410BBEC0" w14:textId="77777777" w:rsidR="00A926D2" w:rsidRPr="00A926D2" w:rsidRDefault="00A926D2" w:rsidP="00A926D2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7AA1B492" w14:textId="77777777" w:rsidR="00A926D2" w:rsidRPr="00A926D2" w:rsidRDefault="00A926D2" w:rsidP="00A926D2">
      <w:pPr>
        <w:pStyle w:val="ListParagraph"/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after="0" w:line="240" w:lineRule="auto"/>
        <w:ind w:hanging="361"/>
        <w:contextualSpacing w:val="0"/>
        <w:rPr>
          <w:rFonts w:cstheme="minorHAnsi"/>
        </w:rPr>
      </w:pPr>
      <w:r w:rsidRPr="00A926D2">
        <w:rPr>
          <w:rFonts w:cstheme="minorHAnsi"/>
        </w:rPr>
        <w:t>lights and computers should be turned off for the</w:t>
      </w:r>
      <w:r w:rsidRPr="00A926D2">
        <w:rPr>
          <w:rFonts w:cstheme="minorHAnsi"/>
          <w:spacing w:val="-6"/>
        </w:rPr>
        <w:t xml:space="preserve"> </w:t>
      </w:r>
      <w:r w:rsidRPr="00A926D2">
        <w:rPr>
          <w:rFonts w:cstheme="minorHAnsi"/>
        </w:rPr>
        <w:t>break</w:t>
      </w:r>
    </w:p>
    <w:p w14:paraId="289949AA" w14:textId="77777777" w:rsidR="00A926D2" w:rsidRPr="00A926D2" w:rsidRDefault="00A926D2" w:rsidP="00A926D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BABC5B8" w14:textId="5DE576DE" w:rsidR="00A926D2" w:rsidRDefault="00A926D2" w:rsidP="00A926D2">
      <w:pPr>
        <w:pStyle w:val="ListParagraph"/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before="1" w:after="0" w:line="240" w:lineRule="auto"/>
        <w:ind w:right="339"/>
        <w:contextualSpacing w:val="0"/>
        <w:rPr>
          <w:rFonts w:cstheme="minorHAnsi"/>
        </w:rPr>
      </w:pPr>
      <w:r w:rsidRPr="00A926D2">
        <w:rPr>
          <w:rFonts w:cstheme="minorHAnsi"/>
        </w:rPr>
        <w:t xml:space="preserve">all windows must be closed before leaving offices, </w:t>
      </w:r>
      <w:proofErr w:type="gramStart"/>
      <w:r w:rsidRPr="00A926D2">
        <w:rPr>
          <w:rFonts w:cstheme="minorHAnsi"/>
        </w:rPr>
        <w:t>labs</w:t>
      </w:r>
      <w:proofErr w:type="gramEnd"/>
      <w:r w:rsidRPr="00A926D2">
        <w:rPr>
          <w:rFonts w:cstheme="minorHAnsi"/>
        </w:rPr>
        <w:t xml:space="preserve"> and classrooms, in order to prevent</w:t>
      </w:r>
      <w:r w:rsidRPr="00A926D2">
        <w:rPr>
          <w:rFonts w:cstheme="minorHAnsi"/>
          <w:spacing w:val="-27"/>
        </w:rPr>
        <w:t xml:space="preserve"> </w:t>
      </w:r>
      <w:r w:rsidRPr="00A926D2">
        <w:rPr>
          <w:rFonts w:cstheme="minorHAnsi"/>
        </w:rPr>
        <w:t>the freeze up of radiators and plumbing</w:t>
      </w:r>
      <w:r w:rsidRPr="00A926D2">
        <w:rPr>
          <w:rFonts w:cstheme="minorHAnsi"/>
          <w:spacing w:val="-9"/>
        </w:rPr>
        <w:t xml:space="preserve"> </w:t>
      </w:r>
      <w:r w:rsidRPr="00A926D2">
        <w:rPr>
          <w:rFonts w:cstheme="minorHAnsi"/>
        </w:rPr>
        <w:t>system</w:t>
      </w:r>
      <w:r w:rsidR="00896C65">
        <w:rPr>
          <w:rFonts w:cstheme="minorHAnsi"/>
        </w:rPr>
        <w:t>s</w:t>
      </w:r>
    </w:p>
    <w:p w14:paraId="470E0B8C" w14:textId="77777777" w:rsidR="00896C65" w:rsidRDefault="00896C65" w:rsidP="00896C65">
      <w:pPr>
        <w:pStyle w:val="ListParagraph"/>
        <w:widowControl w:val="0"/>
        <w:tabs>
          <w:tab w:val="left" w:pos="821"/>
        </w:tabs>
        <w:autoSpaceDE w:val="0"/>
        <w:autoSpaceDN w:val="0"/>
        <w:spacing w:before="1" w:after="0" w:line="240" w:lineRule="auto"/>
        <w:ind w:left="820" w:right="339"/>
        <w:contextualSpacing w:val="0"/>
        <w:rPr>
          <w:rFonts w:cstheme="minorHAnsi"/>
        </w:rPr>
      </w:pPr>
    </w:p>
    <w:p w14:paraId="6AD29981" w14:textId="00DDDF17" w:rsidR="00896C65" w:rsidRDefault="00896C65" w:rsidP="00896C65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/>
          <w:lang w:val="en-CA"/>
        </w:rPr>
      </w:pPr>
      <w:r>
        <w:rPr>
          <w:rFonts w:eastAsia="Times New Roman"/>
          <w:lang w:val="en-CA"/>
        </w:rPr>
        <w:t>all taps/faucets should be in the closed/off position</w:t>
      </w:r>
    </w:p>
    <w:p w14:paraId="6E19512F" w14:textId="77777777" w:rsidR="00896C65" w:rsidRPr="00896C65" w:rsidRDefault="00896C65" w:rsidP="00896C65">
      <w:pPr>
        <w:pStyle w:val="ListParagraph"/>
        <w:autoSpaceDE w:val="0"/>
        <w:autoSpaceDN w:val="0"/>
        <w:spacing w:after="0" w:line="240" w:lineRule="auto"/>
        <w:ind w:left="820"/>
        <w:rPr>
          <w:rFonts w:ascii="Calibri" w:hAnsi="Calibri" w:cs="Calibri"/>
          <w:sz w:val="24"/>
          <w:szCs w:val="24"/>
          <w:lang w:val="en-CA"/>
        </w:rPr>
      </w:pPr>
    </w:p>
    <w:p w14:paraId="2BAEA208" w14:textId="39B02358" w:rsidR="00896C65" w:rsidRDefault="00896C65" w:rsidP="00896C65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  <w:lang w:val="en-CA"/>
        </w:rPr>
      </w:pPr>
      <w:r>
        <w:rPr>
          <w:lang w:val="en-CA"/>
        </w:rPr>
        <w:t xml:space="preserve">any unnecessary lab equipment </w:t>
      </w:r>
      <w:r w:rsidR="00B74351">
        <w:rPr>
          <w:lang w:val="en-CA"/>
        </w:rPr>
        <w:t>should be</w:t>
      </w:r>
      <w:r>
        <w:rPr>
          <w:lang w:val="en-CA"/>
        </w:rPr>
        <w:t xml:space="preserve"> shut down</w:t>
      </w:r>
    </w:p>
    <w:p w14:paraId="658AD7AF" w14:textId="77777777" w:rsidR="00896C65" w:rsidRDefault="00896C65" w:rsidP="00896C65">
      <w:pPr>
        <w:pStyle w:val="BodyText"/>
        <w:rPr>
          <w:rFonts w:ascii="Calibri" w:hAnsi="Calibri" w:cs="Calibri"/>
          <w:lang w:val="en-CA"/>
        </w:rPr>
      </w:pPr>
    </w:p>
    <w:p w14:paraId="5AC4380A" w14:textId="3548B006" w:rsidR="00896C65" w:rsidRPr="00F20ACC" w:rsidRDefault="00896C65" w:rsidP="00896C65">
      <w:pPr>
        <w:pStyle w:val="ListParagraph"/>
        <w:numPr>
          <w:ilvl w:val="0"/>
          <w:numId w:val="6"/>
        </w:numPr>
        <w:autoSpaceDE w:val="0"/>
        <w:autoSpaceDN w:val="0"/>
        <w:spacing w:before="1" w:after="0" w:line="240" w:lineRule="auto"/>
        <w:ind w:right="339"/>
        <w:rPr>
          <w:rFonts w:ascii="Calibri" w:eastAsia="Times New Roman" w:hAnsi="Calibri" w:cs="Calibri"/>
          <w:lang w:val="en-CA"/>
        </w:rPr>
      </w:pPr>
      <w:r>
        <w:rPr>
          <w:rFonts w:eastAsia="Times New Roman"/>
          <w:lang w:val="en-CA"/>
        </w:rPr>
        <w:t xml:space="preserve">all chemicals </w:t>
      </w:r>
      <w:r w:rsidR="00B74351">
        <w:rPr>
          <w:rFonts w:eastAsia="Times New Roman"/>
          <w:lang w:val="en-CA"/>
        </w:rPr>
        <w:t>should be</w:t>
      </w:r>
      <w:r>
        <w:rPr>
          <w:rFonts w:eastAsia="Times New Roman"/>
          <w:lang w:val="en-CA"/>
        </w:rPr>
        <w:t xml:space="preserve"> secured and stored in a safe manner</w:t>
      </w:r>
    </w:p>
    <w:p w14:paraId="65BE28CD" w14:textId="77777777" w:rsidR="00F20ACC" w:rsidRPr="00F20ACC" w:rsidRDefault="00F20ACC" w:rsidP="00F20ACC">
      <w:pPr>
        <w:pStyle w:val="ListParagraph"/>
        <w:autoSpaceDE w:val="0"/>
        <w:autoSpaceDN w:val="0"/>
        <w:spacing w:before="1" w:after="0" w:line="240" w:lineRule="auto"/>
        <w:ind w:left="820" w:right="339"/>
        <w:rPr>
          <w:rFonts w:ascii="Calibri" w:eastAsia="Times New Roman" w:hAnsi="Calibri" w:cs="Calibri"/>
          <w:lang w:val="en-CA"/>
        </w:rPr>
      </w:pPr>
    </w:p>
    <w:p w14:paraId="2492BC3E" w14:textId="1083F299" w:rsidR="00F20ACC" w:rsidRDefault="00F20ACC" w:rsidP="00F20ACC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all small appliances/space heaters should be unplugged</w:t>
      </w:r>
    </w:p>
    <w:p w14:paraId="11AD26DF" w14:textId="77777777" w:rsidR="00F20ACC" w:rsidRDefault="00F20ACC" w:rsidP="00F20ACC">
      <w:pPr>
        <w:spacing w:after="0" w:line="240" w:lineRule="auto"/>
        <w:ind w:left="820"/>
        <w:rPr>
          <w:rFonts w:eastAsia="Times New Roman"/>
        </w:rPr>
      </w:pPr>
    </w:p>
    <w:p w14:paraId="2C4C5397" w14:textId="77F01B02" w:rsidR="00F20ACC" w:rsidRPr="00F20ACC" w:rsidRDefault="00F20ACC" w:rsidP="00B7164D">
      <w:pPr>
        <w:numPr>
          <w:ilvl w:val="0"/>
          <w:numId w:val="6"/>
        </w:numPr>
        <w:autoSpaceDE w:val="0"/>
        <w:autoSpaceDN w:val="0"/>
        <w:spacing w:before="1" w:after="0" w:line="240" w:lineRule="auto"/>
        <w:ind w:right="339"/>
        <w:rPr>
          <w:rFonts w:ascii="Calibri" w:eastAsia="Times New Roman" w:hAnsi="Calibri" w:cs="Calibri"/>
          <w:lang w:val="en-CA"/>
        </w:rPr>
      </w:pPr>
      <w:r>
        <w:rPr>
          <w:rFonts w:eastAsia="Times New Roman"/>
        </w:rPr>
        <w:t>all</w:t>
      </w:r>
      <w:r w:rsidRPr="00F20ACC">
        <w:rPr>
          <w:rFonts w:eastAsia="Times New Roman"/>
        </w:rPr>
        <w:t xml:space="preserve"> extension cords </w:t>
      </w:r>
      <w:r>
        <w:rPr>
          <w:rFonts w:eastAsia="Times New Roman"/>
        </w:rPr>
        <w:t>should be unplugged</w:t>
      </w:r>
    </w:p>
    <w:p w14:paraId="47D57732" w14:textId="77777777" w:rsidR="00F20ACC" w:rsidRPr="00896C65" w:rsidRDefault="00F20ACC" w:rsidP="00F20ACC">
      <w:pPr>
        <w:pStyle w:val="ListParagraph"/>
        <w:autoSpaceDE w:val="0"/>
        <w:autoSpaceDN w:val="0"/>
        <w:spacing w:before="1" w:after="0" w:line="240" w:lineRule="auto"/>
        <w:ind w:left="820" w:right="339"/>
        <w:rPr>
          <w:rFonts w:ascii="Calibri" w:eastAsia="Times New Roman" w:hAnsi="Calibri" w:cs="Calibri"/>
          <w:lang w:val="en-CA"/>
        </w:rPr>
      </w:pPr>
    </w:p>
    <w:p w14:paraId="27CCD7D9" w14:textId="77777777" w:rsidR="00A926D2" w:rsidRPr="00A926D2" w:rsidRDefault="00A926D2" w:rsidP="00A926D2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7881558D" w14:textId="75EE8B97" w:rsidR="00A926D2" w:rsidRDefault="00A926D2" w:rsidP="00A926D2">
      <w:pPr>
        <w:pStyle w:val="ListParagraph"/>
        <w:widowControl w:val="0"/>
        <w:numPr>
          <w:ilvl w:val="0"/>
          <w:numId w:val="6"/>
        </w:numPr>
        <w:tabs>
          <w:tab w:val="left" w:pos="821"/>
        </w:tabs>
        <w:autoSpaceDE w:val="0"/>
        <w:autoSpaceDN w:val="0"/>
        <w:spacing w:before="1" w:after="0" w:line="480" w:lineRule="auto"/>
        <w:ind w:left="100" w:right="181" w:firstLine="360"/>
        <w:contextualSpacing w:val="0"/>
        <w:rPr>
          <w:rFonts w:cstheme="minorHAnsi"/>
        </w:rPr>
      </w:pPr>
      <w:r w:rsidRPr="00A926D2">
        <w:rPr>
          <w:rFonts w:cstheme="minorHAnsi"/>
        </w:rPr>
        <w:t>Central Energy Plant (Fort Garry) and Power Engineers (</w:t>
      </w:r>
      <w:proofErr w:type="spellStart"/>
      <w:r w:rsidRPr="00A926D2">
        <w:rPr>
          <w:rFonts w:cstheme="minorHAnsi"/>
        </w:rPr>
        <w:t>Bannatyne</w:t>
      </w:r>
      <w:proofErr w:type="spellEnd"/>
      <w:r w:rsidRPr="00A926D2">
        <w:rPr>
          <w:rFonts w:cstheme="minorHAnsi"/>
        </w:rPr>
        <w:t>) will be staffed</w:t>
      </w:r>
      <w:r w:rsidRPr="00A926D2">
        <w:rPr>
          <w:rFonts w:cstheme="minorHAnsi"/>
          <w:spacing w:val="-25"/>
        </w:rPr>
        <w:t xml:space="preserve"> </w:t>
      </w:r>
      <w:r w:rsidRPr="00A926D2">
        <w:rPr>
          <w:rFonts w:cstheme="minorHAnsi"/>
        </w:rPr>
        <w:t xml:space="preserve">24/7 </w:t>
      </w:r>
    </w:p>
    <w:p w14:paraId="0D11B1A0" w14:textId="77777777" w:rsidR="00A926D2" w:rsidRPr="00A926D2" w:rsidRDefault="00A926D2" w:rsidP="00A926D2">
      <w:pPr>
        <w:pStyle w:val="BodyText"/>
        <w:ind w:left="100"/>
        <w:rPr>
          <w:rFonts w:asciiTheme="minorHAnsi" w:hAnsiTheme="minorHAnsi" w:cstheme="minorHAnsi"/>
          <w:sz w:val="22"/>
          <w:szCs w:val="22"/>
        </w:rPr>
      </w:pPr>
      <w:r w:rsidRPr="00A926D2">
        <w:rPr>
          <w:rFonts w:asciiTheme="minorHAnsi" w:hAnsiTheme="minorHAnsi" w:cstheme="minorHAnsi"/>
          <w:sz w:val="22"/>
          <w:szCs w:val="22"/>
        </w:rPr>
        <w:t xml:space="preserve">Should a </w:t>
      </w:r>
      <w:r w:rsidRPr="00A926D2">
        <w:rPr>
          <w:rFonts w:asciiTheme="minorHAnsi" w:hAnsiTheme="minorHAnsi" w:cstheme="minorHAnsi"/>
          <w:b/>
          <w:sz w:val="22"/>
          <w:szCs w:val="22"/>
          <w:u w:val="thick"/>
        </w:rPr>
        <w:t>Safety or Security emergency</w:t>
      </w:r>
      <w:r w:rsidRPr="00A926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926D2">
        <w:rPr>
          <w:rFonts w:asciiTheme="minorHAnsi" w:hAnsiTheme="minorHAnsi" w:cstheme="minorHAnsi"/>
          <w:sz w:val="22"/>
          <w:szCs w:val="22"/>
        </w:rPr>
        <w:t>arise, please</w:t>
      </w:r>
      <w:r w:rsidRPr="00A926D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926D2">
        <w:rPr>
          <w:rFonts w:asciiTheme="minorHAnsi" w:hAnsiTheme="minorHAnsi" w:cstheme="minorHAnsi"/>
          <w:sz w:val="22"/>
          <w:szCs w:val="22"/>
        </w:rPr>
        <w:t>call</w:t>
      </w:r>
    </w:p>
    <w:p w14:paraId="7AD7FA39" w14:textId="77777777" w:rsidR="00A926D2" w:rsidRPr="00A926D2" w:rsidRDefault="00A926D2" w:rsidP="00A926D2">
      <w:pPr>
        <w:pStyle w:val="BodyText"/>
        <w:ind w:left="100"/>
        <w:rPr>
          <w:rFonts w:asciiTheme="minorHAnsi" w:hAnsiTheme="minorHAnsi" w:cstheme="minorHAnsi"/>
          <w:sz w:val="22"/>
          <w:szCs w:val="22"/>
        </w:rPr>
      </w:pPr>
    </w:p>
    <w:p w14:paraId="4AA75843" w14:textId="77777777" w:rsidR="00A926D2" w:rsidRPr="00A926D2" w:rsidRDefault="00A926D2" w:rsidP="00A926D2">
      <w:pPr>
        <w:pStyle w:val="Heading1"/>
        <w:spacing w:before="5"/>
        <w:rPr>
          <w:rFonts w:asciiTheme="minorHAnsi" w:hAnsiTheme="minorHAnsi" w:cstheme="minorHAnsi"/>
        </w:rPr>
      </w:pPr>
      <w:r w:rsidRPr="00A926D2">
        <w:rPr>
          <w:rFonts w:asciiTheme="minorHAnsi" w:hAnsiTheme="minorHAnsi" w:cstheme="minorHAnsi"/>
        </w:rPr>
        <w:t>(204) 474-9341 Security Services, Fort Garry Campus or dial 911</w:t>
      </w:r>
    </w:p>
    <w:p w14:paraId="2CA0BF77" w14:textId="769EDF2D" w:rsidR="00A926D2" w:rsidRPr="00A926D2" w:rsidRDefault="00A926D2" w:rsidP="00A926D2">
      <w:pPr>
        <w:spacing w:line="252" w:lineRule="exact"/>
        <w:ind w:left="1540"/>
        <w:rPr>
          <w:rFonts w:cstheme="minorHAnsi"/>
          <w:b/>
        </w:rPr>
      </w:pPr>
      <w:r w:rsidRPr="00A926D2">
        <w:rPr>
          <w:rFonts w:cstheme="minorHAnsi"/>
          <w:b/>
        </w:rPr>
        <w:t xml:space="preserve">(204) 789-3330 Security Services, </w:t>
      </w:r>
      <w:proofErr w:type="spellStart"/>
      <w:r w:rsidRPr="00A926D2">
        <w:rPr>
          <w:rFonts w:cstheme="minorHAnsi"/>
          <w:b/>
        </w:rPr>
        <w:t>Bannatyne</w:t>
      </w:r>
      <w:proofErr w:type="spellEnd"/>
      <w:r w:rsidRPr="00A926D2">
        <w:rPr>
          <w:rFonts w:cstheme="minorHAnsi"/>
          <w:b/>
        </w:rPr>
        <w:t xml:space="preserve"> Campus or dial 911</w:t>
      </w:r>
    </w:p>
    <w:p w14:paraId="2DDE1179" w14:textId="77777777" w:rsidR="00A926D2" w:rsidRPr="00A926D2" w:rsidRDefault="00A926D2" w:rsidP="00A926D2">
      <w:pPr>
        <w:pStyle w:val="BodyText"/>
        <w:ind w:left="100"/>
        <w:rPr>
          <w:rFonts w:asciiTheme="minorHAnsi" w:hAnsiTheme="minorHAnsi" w:cstheme="minorHAnsi"/>
          <w:sz w:val="22"/>
          <w:szCs w:val="22"/>
        </w:rPr>
      </w:pPr>
      <w:r w:rsidRPr="00A926D2">
        <w:rPr>
          <w:rFonts w:asciiTheme="minorHAnsi" w:hAnsiTheme="minorHAnsi" w:cstheme="minorHAnsi"/>
          <w:sz w:val="22"/>
          <w:szCs w:val="22"/>
        </w:rPr>
        <w:t xml:space="preserve">Should a </w:t>
      </w:r>
      <w:r w:rsidRPr="00A926D2">
        <w:rPr>
          <w:rFonts w:asciiTheme="minorHAnsi" w:hAnsiTheme="minorHAnsi" w:cstheme="minorHAnsi"/>
          <w:b/>
          <w:sz w:val="22"/>
          <w:szCs w:val="22"/>
          <w:u w:val="thick"/>
        </w:rPr>
        <w:t>Building emergency</w:t>
      </w:r>
      <w:r w:rsidRPr="00A926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926D2">
        <w:rPr>
          <w:rFonts w:asciiTheme="minorHAnsi" w:hAnsiTheme="minorHAnsi" w:cstheme="minorHAnsi"/>
          <w:sz w:val="22"/>
          <w:szCs w:val="22"/>
        </w:rPr>
        <w:t>arise, please call</w:t>
      </w:r>
    </w:p>
    <w:p w14:paraId="3B510F3F" w14:textId="77777777" w:rsidR="00A926D2" w:rsidRPr="00A926D2" w:rsidRDefault="00A926D2" w:rsidP="00A926D2">
      <w:pPr>
        <w:pStyle w:val="BodyText"/>
        <w:ind w:left="100"/>
        <w:rPr>
          <w:rFonts w:asciiTheme="minorHAnsi" w:hAnsiTheme="minorHAnsi" w:cstheme="minorHAnsi"/>
          <w:sz w:val="22"/>
          <w:szCs w:val="22"/>
        </w:rPr>
      </w:pPr>
    </w:p>
    <w:p w14:paraId="2FC2B7E2" w14:textId="77777777" w:rsidR="00A926D2" w:rsidRPr="00A926D2" w:rsidRDefault="00A926D2" w:rsidP="00A926D2">
      <w:pPr>
        <w:pStyle w:val="Heading1"/>
        <w:spacing w:before="91"/>
        <w:rPr>
          <w:rFonts w:asciiTheme="minorHAnsi" w:hAnsiTheme="minorHAnsi" w:cstheme="minorHAnsi"/>
        </w:rPr>
      </w:pPr>
      <w:r w:rsidRPr="00A926D2">
        <w:rPr>
          <w:rFonts w:asciiTheme="minorHAnsi" w:hAnsiTheme="minorHAnsi" w:cstheme="minorHAnsi"/>
        </w:rPr>
        <w:t>(204) 474-6281 Customer Service Desk, Fort Garry Campus</w:t>
      </w:r>
    </w:p>
    <w:p w14:paraId="321F9271" w14:textId="47E4B33D" w:rsidR="00A926D2" w:rsidRPr="00A926D2" w:rsidRDefault="00A926D2" w:rsidP="00A926D2">
      <w:pPr>
        <w:spacing w:line="252" w:lineRule="exact"/>
        <w:ind w:left="1540"/>
        <w:rPr>
          <w:rFonts w:cstheme="minorHAnsi"/>
          <w:b/>
        </w:rPr>
      </w:pPr>
      <w:r w:rsidRPr="00A926D2">
        <w:rPr>
          <w:rFonts w:cstheme="minorHAnsi"/>
          <w:b/>
        </w:rPr>
        <w:t xml:space="preserve">(204) 789-3330 Security Services, </w:t>
      </w:r>
      <w:proofErr w:type="spellStart"/>
      <w:r w:rsidRPr="00A926D2">
        <w:rPr>
          <w:rFonts w:cstheme="minorHAnsi"/>
          <w:b/>
        </w:rPr>
        <w:t>Bannatyne</w:t>
      </w:r>
      <w:proofErr w:type="spellEnd"/>
      <w:r w:rsidRPr="00A926D2">
        <w:rPr>
          <w:rFonts w:cstheme="minorHAnsi"/>
          <w:b/>
        </w:rPr>
        <w:t xml:space="preserve"> Campus</w:t>
      </w:r>
    </w:p>
    <w:p w14:paraId="0041D06C" w14:textId="4A211AE4" w:rsidR="00A926D2" w:rsidRDefault="00A926D2" w:rsidP="00A926D2">
      <w:pPr>
        <w:pStyle w:val="BodyText"/>
        <w:ind w:left="100" w:right="215"/>
        <w:rPr>
          <w:rFonts w:asciiTheme="minorHAnsi" w:hAnsiTheme="minorHAnsi" w:cstheme="minorHAnsi"/>
          <w:sz w:val="22"/>
          <w:szCs w:val="22"/>
        </w:rPr>
      </w:pPr>
      <w:r w:rsidRPr="00A926D2">
        <w:rPr>
          <w:rFonts w:asciiTheme="minorHAnsi" w:hAnsiTheme="minorHAnsi" w:cstheme="minorHAnsi"/>
          <w:sz w:val="22"/>
          <w:szCs w:val="22"/>
        </w:rPr>
        <w:t xml:space="preserve">I would like to make a special appeal for your assistance in requesting staff and students to ensure doors and offices are locked over this period </w:t>
      </w:r>
      <w:proofErr w:type="gramStart"/>
      <w:r w:rsidRPr="00A926D2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A926D2">
        <w:rPr>
          <w:rFonts w:asciiTheme="minorHAnsi" w:hAnsiTheme="minorHAnsi" w:cstheme="minorHAnsi"/>
          <w:sz w:val="22"/>
          <w:szCs w:val="22"/>
        </w:rPr>
        <w:t xml:space="preserve"> reduce the risk of theft and vandalism. Door opening requests over the holidays should be sent to Security Services by December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A926D2">
        <w:rPr>
          <w:rFonts w:asciiTheme="minorHAnsi" w:hAnsiTheme="minorHAnsi" w:cstheme="minorHAnsi"/>
          <w:sz w:val="22"/>
          <w:szCs w:val="22"/>
        </w:rPr>
        <w:t xml:space="preserve">, </w:t>
      </w:r>
      <w:r w:rsidR="00D82F93" w:rsidRPr="00A926D2">
        <w:rPr>
          <w:rFonts w:asciiTheme="minorHAnsi" w:hAnsiTheme="minorHAnsi" w:cstheme="minorHAnsi"/>
          <w:sz w:val="22"/>
          <w:szCs w:val="22"/>
        </w:rPr>
        <w:t>202</w:t>
      </w:r>
      <w:r w:rsidR="00D82F93">
        <w:rPr>
          <w:rFonts w:asciiTheme="minorHAnsi" w:hAnsiTheme="minorHAnsi" w:cstheme="minorHAnsi"/>
          <w:sz w:val="22"/>
          <w:szCs w:val="22"/>
        </w:rPr>
        <w:t>2</w:t>
      </w:r>
      <w:r w:rsidRPr="00A926D2">
        <w:rPr>
          <w:rFonts w:asciiTheme="minorHAnsi" w:hAnsiTheme="minorHAnsi" w:cstheme="minorHAnsi"/>
          <w:sz w:val="22"/>
          <w:szCs w:val="22"/>
        </w:rPr>
        <w:t xml:space="preserve">. These requests </w:t>
      </w:r>
      <w:r w:rsidR="00B91017">
        <w:rPr>
          <w:rFonts w:asciiTheme="minorHAnsi" w:hAnsiTheme="minorHAnsi" w:cstheme="minorHAnsi"/>
          <w:sz w:val="22"/>
          <w:szCs w:val="22"/>
        </w:rPr>
        <w:t>should</w:t>
      </w:r>
      <w:r w:rsidRPr="00A926D2">
        <w:rPr>
          <w:rFonts w:asciiTheme="minorHAnsi" w:hAnsiTheme="minorHAnsi" w:cstheme="minorHAnsi"/>
          <w:sz w:val="22"/>
          <w:szCs w:val="22"/>
        </w:rPr>
        <w:t xml:space="preserve"> be approved in advance by the Dean/Director or Unit Head.</w:t>
      </w:r>
    </w:p>
    <w:p w14:paraId="0DFF9C78" w14:textId="77777777" w:rsidR="00A926D2" w:rsidRPr="00A926D2" w:rsidRDefault="00A926D2" w:rsidP="00A926D2">
      <w:pPr>
        <w:pStyle w:val="BodyText"/>
        <w:ind w:left="100" w:right="215"/>
        <w:rPr>
          <w:rFonts w:asciiTheme="minorHAnsi" w:hAnsiTheme="minorHAnsi" w:cstheme="minorHAnsi"/>
          <w:sz w:val="22"/>
          <w:szCs w:val="22"/>
        </w:rPr>
      </w:pPr>
    </w:p>
    <w:p w14:paraId="373DCF80" w14:textId="77777777" w:rsidR="00A926D2" w:rsidRPr="00A926D2" w:rsidRDefault="00A926D2" w:rsidP="00A926D2">
      <w:pPr>
        <w:pStyle w:val="BodyText"/>
        <w:spacing w:before="74"/>
        <w:ind w:left="100" w:right="314"/>
        <w:rPr>
          <w:rFonts w:asciiTheme="minorHAnsi" w:hAnsiTheme="minorHAnsi" w:cstheme="minorHAnsi"/>
          <w:sz w:val="22"/>
          <w:szCs w:val="22"/>
        </w:rPr>
      </w:pPr>
      <w:r w:rsidRPr="00A926D2">
        <w:rPr>
          <w:rFonts w:asciiTheme="minorHAnsi" w:hAnsiTheme="minorHAnsi" w:cstheme="minorHAnsi"/>
          <w:sz w:val="22"/>
          <w:szCs w:val="22"/>
        </w:rPr>
        <w:t>Please inform the Customer Service Desk, O&amp;M at 204-474-6281 of any special requirements relating to animals or research equipment during this period. Every effort will be made to accommodate those special needs.</w:t>
      </w:r>
    </w:p>
    <w:p w14:paraId="594E31BF" w14:textId="77777777" w:rsidR="00A926D2" w:rsidRPr="00A926D2" w:rsidRDefault="00A926D2" w:rsidP="00A926D2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27D75AD5" w14:textId="7357F140" w:rsidR="00A926D2" w:rsidRPr="00A926D2" w:rsidRDefault="00A926D2" w:rsidP="00A926D2">
      <w:pPr>
        <w:pStyle w:val="BodyText"/>
        <w:ind w:left="100" w:right="277"/>
        <w:rPr>
          <w:rFonts w:asciiTheme="minorHAnsi" w:hAnsiTheme="minorHAnsi" w:cstheme="minorHAnsi"/>
          <w:sz w:val="22"/>
          <w:szCs w:val="22"/>
        </w:rPr>
      </w:pPr>
      <w:r w:rsidRPr="00A926D2">
        <w:rPr>
          <w:rFonts w:asciiTheme="minorHAnsi" w:hAnsiTheme="minorHAnsi" w:cstheme="minorHAnsi"/>
          <w:sz w:val="22"/>
          <w:szCs w:val="22"/>
        </w:rPr>
        <w:t xml:space="preserve">Architectural and Engineering Services will share a list of active projects </w:t>
      </w:r>
      <w:r w:rsidR="00B91017">
        <w:rPr>
          <w:rFonts w:asciiTheme="minorHAnsi" w:hAnsiTheme="minorHAnsi" w:cstheme="minorHAnsi"/>
          <w:sz w:val="22"/>
          <w:szCs w:val="22"/>
        </w:rPr>
        <w:t>with</w:t>
      </w:r>
      <w:r w:rsidRPr="00A926D2">
        <w:rPr>
          <w:rFonts w:asciiTheme="minorHAnsi" w:hAnsiTheme="minorHAnsi" w:cstheme="minorHAnsi"/>
          <w:sz w:val="22"/>
          <w:szCs w:val="22"/>
        </w:rPr>
        <w:t xml:space="preserve"> Risk Management </w:t>
      </w:r>
      <w:r w:rsidR="00B91017">
        <w:rPr>
          <w:rFonts w:asciiTheme="minorHAnsi" w:hAnsiTheme="minorHAnsi" w:cstheme="minorHAnsi"/>
          <w:sz w:val="22"/>
          <w:szCs w:val="22"/>
        </w:rPr>
        <w:t xml:space="preserve">Office </w:t>
      </w:r>
      <w:r w:rsidRPr="00A926D2">
        <w:rPr>
          <w:rFonts w:asciiTheme="minorHAnsi" w:hAnsiTheme="minorHAnsi" w:cstheme="minorHAnsi"/>
          <w:sz w:val="22"/>
          <w:szCs w:val="22"/>
        </w:rPr>
        <w:t>and Security Services in advance of the holiday break. Arrangements have been made for any shutdowns or service interruptions during this time.</w:t>
      </w:r>
    </w:p>
    <w:p w14:paraId="0BC46D2E" w14:textId="77777777" w:rsidR="00A926D2" w:rsidRPr="00A926D2" w:rsidRDefault="00A926D2" w:rsidP="00A926D2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099D4259" w14:textId="77777777" w:rsidR="00A926D2" w:rsidRPr="00A926D2" w:rsidRDefault="00A926D2" w:rsidP="00A926D2">
      <w:pPr>
        <w:pStyle w:val="BodyText"/>
        <w:ind w:left="100" w:right="624"/>
        <w:rPr>
          <w:rFonts w:asciiTheme="minorHAnsi" w:hAnsiTheme="minorHAnsi" w:cstheme="minorHAnsi"/>
          <w:sz w:val="22"/>
          <w:szCs w:val="22"/>
        </w:rPr>
      </w:pPr>
      <w:r w:rsidRPr="00A926D2">
        <w:rPr>
          <w:rFonts w:asciiTheme="minorHAnsi" w:hAnsiTheme="minorHAnsi" w:cstheme="minorHAnsi"/>
          <w:sz w:val="22"/>
          <w:szCs w:val="22"/>
        </w:rPr>
        <w:t>I would also like to take this opportunity to extend to each of you and your families, holiday season greetings and best wishes for the New Year.</w:t>
      </w:r>
    </w:p>
    <w:p w14:paraId="6E0BE012" w14:textId="78CB4A19" w:rsidR="00F17246" w:rsidRPr="00A926D2" w:rsidRDefault="00F17246" w:rsidP="00F17246">
      <w:pPr>
        <w:jc w:val="both"/>
        <w:rPr>
          <w:lang w:val="en-CA"/>
        </w:rPr>
      </w:pPr>
    </w:p>
    <w:p w14:paraId="17745038" w14:textId="643625A5" w:rsidR="0057167F" w:rsidRDefault="0057167F" w:rsidP="00F17246">
      <w:pPr>
        <w:rPr>
          <w:lang w:val="en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C34F7D" wp14:editId="4E7C2612">
            <wp:simplePos x="0" y="0"/>
            <wp:positionH relativeFrom="column">
              <wp:posOffset>-161925</wp:posOffset>
            </wp:positionH>
            <wp:positionV relativeFrom="paragraph">
              <wp:posOffset>261620</wp:posOffset>
            </wp:positionV>
            <wp:extent cx="1230681" cy="552450"/>
            <wp:effectExtent l="0" t="0" r="7620" b="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F2C2FB8-A6E4-4BEE-9963-BB22B31289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4F2C2FB8-A6E4-4BEE-9963-BB22B31289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681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246" w:rsidRPr="00A926D2">
        <w:rPr>
          <w:lang w:val="en-CA"/>
        </w:rPr>
        <w:t>Regards,</w:t>
      </w:r>
    </w:p>
    <w:p w14:paraId="474E318D" w14:textId="554F1136" w:rsidR="0057167F" w:rsidRPr="00A926D2" w:rsidRDefault="0057167F" w:rsidP="00F17246">
      <w:pPr>
        <w:rPr>
          <w:lang w:val="en-CA"/>
        </w:rPr>
      </w:pPr>
    </w:p>
    <w:p w14:paraId="7F194672" w14:textId="77777777" w:rsidR="0057167F" w:rsidRDefault="0057167F" w:rsidP="00F17246">
      <w:pPr>
        <w:rPr>
          <w:lang w:val="en-CA" w:eastAsia="en-CA"/>
        </w:rPr>
      </w:pPr>
    </w:p>
    <w:p w14:paraId="030BDC12" w14:textId="5FB0076A" w:rsidR="00F17246" w:rsidRPr="00A926D2" w:rsidRDefault="00F17246" w:rsidP="00F17246">
      <w:r w:rsidRPr="00A926D2">
        <w:rPr>
          <w:lang w:val="en-CA" w:eastAsia="en-CA"/>
        </w:rPr>
        <w:t xml:space="preserve">Karen Meelker I Executive Director, Office of Risk &amp; Compliance I University of Manitoba I Cell: 204-227-8205 I Desk: 204-272-1631 I Email: </w:t>
      </w:r>
      <w:hyperlink r:id="rId8" w:history="1">
        <w:r w:rsidRPr="00A926D2">
          <w:rPr>
            <w:rStyle w:val="Hyperlink"/>
            <w:lang w:val="en-CA" w:eastAsia="en-CA"/>
          </w:rPr>
          <w:t>Karen.meelker@umanitoba.ca</w:t>
        </w:r>
      </w:hyperlink>
      <w:r w:rsidRPr="00A926D2">
        <w:rPr>
          <w:lang w:val="en-CA" w:eastAsia="en-CA"/>
        </w:rPr>
        <w:t xml:space="preserve"> </w:t>
      </w:r>
    </w:p>
    <w:p w14:paraId="2D7C3088" w14:textId="20809F97" w:rsidR="000C799A" w:rsidRPr="00A926D2" w:rsidRDefault="000C799A" w:rsidP="006D4049">
      <w:pPr>
        <w:jc w:val="both"/>
        <w:rPr>
          <w:rFonts w:ascii="Arial" w:hAnsi="Arial" w:cs="Arial"/>
        </w:rPr>
      </w:pPr>
    </w:p>
    <w:sectPr w:rsidR="000C799A" w:rsidRPr="00A92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E1088"/>
    <w:multiLevelType w:val="hybridMultilevel"/>
    <w:tmpl w:val="4D1A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66841"/>
    <w:multiLevelType w:val="hybridMultilevel"/>
    <w:tmpl w:val="3D7E73B6"/>
    <w:lvl w:ilvl="0" w:tplc="10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4B400A42"/>
    <w:multiLevelType w:val="hybridMultilevel"/>
    <w:tmpl w:val="6D30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575D3"/>
    <w:multiLevelType w:val="hybridMultilevel"/>
    <w:tmpl w:val="E364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E66E2"/>
    <w:multiLevelType w:val="hybridMultilevel"/>
    <w:tmpl w:val="8E6C37C6"/>
    <w:lvl w:ilvl="0" w:tplc="228A6E22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2"/>
        <w:szCs w:val="22"/>
        <w:lang w:val="en-CA" w:eastAsia="en-CA" w:bidi="en-CA"/>
      </w:rPr>
    </w:lvl>
    <w:lvl w:ilvl="1" w:tplc="AC663A3C">
      <w:numFmt w:val="bullet"/>
      <w:lvlText w:val="•"/>
      <w:lvlJc w:val="left"/>
      <w:pPr>
        <w:ind w:left="2080" w:hanging="360"/>
      </w:pPr>
      <w:rPr>
        <w:rFonts w:hint="default"/>
        <w:lang w:val="en-CA" w:eastAsia="en-CA" w:bidi="en-CA"/>
      </w:rPr>
    </w:lvl>
    <w:lvl w:ilvl="2" w:tplc="72189D1E">
      <w:numFmt w:val="bullet"/>
      <w:lvlText w:val="•"/>
      <w:lvlJc w:val="left"/>
      <w:pPr>
        <w:ind w:left="2904" w:hanging="360"/>
      </w:pPr>
      <w:rPr>
        <w:rFonts w:hint="default"/>
        <w:lang w:val="en-CA" w:eastAsia="en-CA" w:bidi="en-CA"/>
      </w:rPr>
    </w:lvl>
    <w:lvl w:ilvl="3" w:tplc="03205A50">
      <w:numFmt w:val="bullet"/>
      <w:lvlText w:val="•"/>
      <w:lvlJc w:val="left"/>
      <w:pPr>
        <w:ind w:left="3728" w:hanging="360"/>
      </w:pPr>
      <w:rPr>
        <w:rFonts w:hint="default"/>
        <w:lang w:val="en-CA" w:eastAsia="en-CA" w:bidi="en-CA"/>
      </w:rPr>
    </w:lvl>
    <w:lvl w:ilvl="4" w:tplc="2112050E">
      <w:numFmt w:val="bullet"/>
      <w:lvlText w:val="•"/>
      <w:lvlJc w:val="left"/>
      <w:pPr>
        <w:ind w:left="4553" w:hanging="360"/>
      </w:pPr>
      <w:rPr>
        <w:rFonts w:hint="default"/>
        <w:lang w:val="en-CA" w:eastAsia="en-CA" w:bidi="en-CA"/>
      </w:rPr>
    </w:lvl>
    <w:lvl w:ilvl="5" w:tplc="6E5C20D8">
      <w:numFmt w:val="bullet"/>
      <w:lvlText w:val="•"/>
      <w:lvlJc w:val="left"/>
      <w:pPr>
        <w:ind w:left="5377" w:hanging="360"/>
      </w:pPr>
      <w:rPr>
        <w:rFonts w:hint="default"/>
        <w:lang w:val="en-CA" w:eastAsia="en-CA" w:bidi="en-CA"/>
      </w:rPr>
    </w:lvl>
    <w:lvl w:ilvl="6" w:tplc="3F702EA0">
      <w:numFmt w:val="bullet"/>
      <w:lvlText w:val="•"/>
      <w:lvlJc w:val="left"/>
      <w:pPr>
        <w:ind w:left="6202" w:hanging="360"/>
      </w:pPr>
      <w:rPr>
        <w:rFonts w:hint="default"/>
        <w:lang w:val="en-CA" w:eastAsia="en-CA" w:bidi="en-CA"/>
      </w:rPr>
    </w:lvl>
    <w:lvl w:ilvl="7" w:tplc="FB4EA356">
      <w:numFmt w:val="bullet"/>
      <w:lvlText w:val="•"/>
      <w:lvlJc w:val="left"/>
      <w:pPr>
        <w:ind w:left="7026" w:hanging="360"/>
      </w:pPr>
      <w:rPr>
        <w:rFonts w:hint="default"/>
        <w:lang w:val="en-CA" w:eastAsia="en-CA" w:bidi="en-CA"/>
      </w:rPr>
    </w:lvl>
    <w:lvl w:ilvl="8" w:tplc="84ECC56A">
      <w:numFmt w:val="bullet"/>
      <w:lvlText w:val="•"/>
      <w:lvlJc w:val="left"/>
      <w:pPr>
        <w:ind w:left="7851" w:hanging="360"/>
      </w:pPr>
      <w:rPr>
        <w:rFonts w:hint="default"/>
        <w:lang w:val="en-CA" w:eastAsia="en-CA" w:bidi="en-CA"/>
      </w:rPr>
    </w:lvl>
  </w:abstractNum>
  <w:abstractNum w:abstractNumId="5" w15:restartNumberingAfterBreak="0">
    <w:nsid w:val="73D21EEC"/>
    <w:multiLevelType w:val="hybridMultilevel"/>
    <w:tmpl w:val="012C4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A29C6"/>
    <w:multiLevelType w:val="hybridMultilevel"/>
    <w:tmpl w:val="0BBEBC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488327">
    <w:abstractNumId w:val="3"/>
  </w:num>
  <w:num w:numId="2" w16cid:durableId="718632527">
    <w:abstractNumId w:val="0"/>
  </w:num>
  <w:num w:numId="3" w16cid:durableId="2052991851">
    <w:abstractNumId w:val="6"/>
  </w:num>
  <w:num w:numId="4" w16cid:durableId="1641496935">
    <w:abstractNumId w:val="5"/>
  </w:num>
  <w:num w:numId="5" w16cid:durableId="1402871406">
    <w:abstractNumId w:val="1"/>
  </w:num>
  <w:num w:numId="6" w16cid:durableId="1044133874">
    <w:abstractNumId w:val="4"/>
  </w:num>
  <w:num w:numId="7" w16cid:durableId="361319730">
    <w:abstractNumId w:val="4"/>
  </w:num>
  <w:num w:numId="8" w16cid:durableId="1790928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48"/>
    <w:rsid w:val="00055B05"/>
    <w:rsid w:val="000C799A"/>
    <w:rsid w:val="000E4D7B"/>
    <w:rsid w:val="002424E7"/>
    <w:rsid w:val="002918F6"/>
    <w:rsid w:val="002C08C4"/>
    <w:rsid w:val="00346355"/>
    <w:rsid w:val="003C3EF1"/>
    <w:rsid w:val="003D04F2"/>
    <w:rsid w:val="003D6978"/>
    <w:rsid w:val="003E15B3"/>
    <w:rsid w:val="004160AF"/>
    <w:rsid w:val="0042396F"/>
    <w:rsid w:val="004C6BBB"/>
    <w:rsid w:val="004F18E7"/>
    <w:rsid w:val="00521064"/>
    <w:rsid w:val="0057167F"/>
    <w:rsid w:val="005B4F8F"/>
    <w:rsid w:val="006321E9"/>
    <w:rsid w:val="006D2385"/>
    <w:rsid w:val="006D4049"/>
    <w:rsid w:val="00717FBB"/>
    <w:rsid w:val="00794D2F"/>
    <w:rsid w:val="00805948"/>
    <w:rsid w:val="00815158"/>
    <w:rsid w:val="00896C65"/>
    <w:rsid w:val="008D7497"/>
    <w:rsid w:val="009136DA"/>
    <w:rsid w:val="00A926D2"/>
    <w:rsid w:val="00B74351"/>
    <w:rsid w:val="00B91017"/>
    <w:rsid w:val="00B947F3"/>
    <w:rsid w:val="00BB32E3"/>
    <w:rsid w:val="00C01411"/>
    <w:rsid w:val="00C252B9"/>
    <w:rsid w:val="00CE6727"/>
    <w:rsid w:val="00CF0773"/>
    <w:rsid w:val="00D60B31"/>
    <w:rsid w:val="00D61820"/>
    <w:rsid w:val="00D82F93"/>
    <w:rsid w:val="00EC0FDA"/>
    <w:rsid w:val="00F17246"/>
    <w:rsid w:val="00F20ACC"/>
    <w:rsid w:val="00F44122"/>
    <w:rsid w:val="00F666A1"/>
    <w:rsid w:val="00F7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7FEAF"/>
  <w15:chartTrackingRefBased/>
  <w15:docId w15:val="{2FF4169F-96C4-41A3-A782-B63F50EF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26D2"/>
    <w:pPr>
      <w:widowControl w:val="0"/>
      <w:autoSpaceDE w:val="0"/>
      <w:autoSpaceDN w:val="0"/>
      <w:spacing w:after="0" w:line="252" w:lineRule="exact"/>
      <w:ind w:left="1540"/>
      <w:outlineLvl w:val="0"/>
    </w:pPr>
    <w:rPr>
      <w:rFonts w:ascii="Times New Roman" w:eastAsia="Times New Roman" w:hAnsi="Times New Roman" w:cs="Times New Roman"/>
      <w:b/>
      <w:bCs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2106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17246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rsid w:val="00F17246"/>
    <w:pPr>
      <w:autoSpaceDE w:val="0"/>
      <w:autoSpaceDN w:val="0"/>
      <w:spacing w:after="0" w:line="240" w:lineRule="auto"/>
      <w:ind w:left="24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17246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26D2"/>
    <w:rPr>
      <w:rFonts w:ascii="Times New Roman" w:eastAsia="Times New Roman" w:hAnsi="Times New Roman" w:cs="Times New Roman"/>
      <w:b/>
      <w:bCs/>
      <w:lang w:val="en-CA" w:eastAsia="en-CA" w:bidi="en-CA"/>
    </w:rPr>
  </w:style>
  <w:style w:type="paragraph" w:styleId="Revision">
    <w:name w:val="Revision"/>
    <w:hidden/>
    <w:uiPriority w:val="99"/>
    <w:semiHidden/>
    <w:rsid w:val="00B743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.meelker@umanitoba.c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42B1E-C665-4CD4-8F00-1679CA39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Bohonis</dc:creator>
  <cp:keywords/>
  <dc:description/>
  <cp:lastModifiedBy>Michelle Ulrich</cp:lastModifiedBy>
  <cp:revision>3</cp:revision>
  <dcterms:created xsi:type="dcterms:W3CDTF">2022-12-13T14:57:00Z</dcterms:created>
  <dcterms:modified xsi:type="dcterms:W3CDTF">2022-12-19T17:02:00Z</dcterms:modified>
</cp:coreProperties>
</file>