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E48E8" w14:textId="77777777" w:rsidR="00CB0D23" w:rsidRDefault="00CB0D23" w:rsidP="00CB0D23">
      <w:pPr>
        <w:pStyle w:val="HeadingThree"/>
        <w:rPr>
          <w:rFonts w:asciiTheme="majorHAnsi" w:hAnsiTheme="majorHAnsi"/>
          <w:sz w:val="24"/>
          <w:szCs w:val="24"/>
        </w:rPr>
      </w:pPr>
      <w:bookmarkStart w:id="0" w:name="_Toc204165318"/>
      <w:r w:rsidRPr="00CB0D23">
        <w:rPr>
          <w:rFonts w:asciiTheme="majorHAnsi" w:hAnsiTheme="majorHAnsi"/>
          <w:sz w:val="24"/>
          <w:szCs w:val="24"/>
        </w:rPr>
        <w:t>HORIZON-CL5-2026-07-D1-01: Next generation climate monitoring and related capabilities</w:t>
      </w:r>
      <w:bookmarkEnd w:id="0"/>
    </w:p>
    <w:p w14:paraId="268FE7C7" w14:textId="52C6FB5B" w:rsidR="001A7117" w:rsidRPr="001A7117" w:rsidRDefault="001A7117" w:rsidP="001A7117">
      <w:pPr>
        <w:rPr>
          <w:rFonts w:asciiTheme="majorHAnsi" w:hAnsiTheme="majorHAnsi"/>
        </w:rPr>
      </w:pPr>
      <w:r w:rsidRPr="001A7117">
        <w:rPr>
          <w:rFonts w:asciiTheme="majorHAnsi" w:hAnsiTheme="majorHAnsi"/>
        </w:rPr>
        <w:t xml:space="preserve">Call Opens: </w:t>
      </w:r>
      <w:r w:rsidRPr="001A7117">
        <w:rPr>
          <w:rFonts w:asciiTheme="majorHAnsi" w:hAnsiTheme="majorHAnsi"/>
        </w:rPr>
        <w:t>Dec 18 2025</w:t>
      </w:r>
    </w:p>
    <w:p w14:paraId="24091FED" w14:textId="0BAF3E91" w:rsidR="001A7117" w:rsidRPr="001A7117" w:rsidRDefault="001A7117" w:rsidP="001A7117">
      <w:pPr>
        <w:rPr>
          <w:rFonts w:asciiTheme="majorHAnsi" w:hAnsiTheme="majorHAnsi"/>
        </w:rPr>
      </w:pPr>
      <w:r w:rsidRPr="001A7117">
        <w:rPr>
          <w:rFonts w:asciiTheme="majorHAnsi" w:hAnsiTheme="majorHAnsi"/>
        </w:rPr>
        <w:t>Deadline: April 15 2026</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7"/>
        <w:gridCol w:w="7273"/>
      </w:tblGrid>
      <w:tr w:rsidR="00CB0D23" w:rsidRPr="00CB0D23" w14:paraId="13287177" w14:textId="77777777" w:rsidTr="00195612">
        <w:tc>
          <w:tcPr>
            <w:tcW w:w="0" w:type="auto"/>
            <w:gridSpan w:val="2"/>
          </w:tcPr>
          <w:p w14:paraId="088FE3F2" w14:textId="77777777" w:rsidR="00CB0D23" w:rsidRPr="00CB0D23" w:rsidRDefault="00CB0D23" w:rsidP="00195612">
            <w:pPr>
              <w:pStyle w:val="CellTextValue"/>
              <w:rPr>
                <w:rFonts w:asciiTheme="majorHAnsi" w:hAnsiTheme="majorHAnsi"/>
              </w:rPr>
            </w:pPr>
            <w:r w:rsidRPr="00CB0D23">
              <w:rPr>
                <w:rFonts w:asciiTheme="majorHAnsi" w:hAnsiTheme="majorHAnsi"/>
                <w:b/>
              </w:rPr>
              <w:t>Call: Cluster 5 Call 07-2026 (WP2026-2027)</w:t>
            </w:r>
          </w:p>
        </w:tc>
      </w:tr>
      <w:tr w:rsidR="00CB0D23" w:rsidRPr="00CB0D23" w14:paraId="33F602E8" w14:textId="77777777" w:rsidTr="00195612">
        <w:tc>
          <w:tcPr>
            <w:tcW w:w="0" w:type="auto"/>
            <w:gridSpan w:val="2"/>
          </w:tcPr>
          <w:p w14:paraId="11959EB3" w14:textId="77777777" w:rsidR="00CB0D23" w:rsidRPr="00CB0D23" w:rsidRDefault="00CB0D23" w:rsidP="00195612">
            <w:pPr>
              <w:pStyle w:val="CellTextValue"/>
              <w:rPr>
                <w:rFonts w:asciiTheme="majorHAnsi" w:hAnsiTheme="majorHAnsi"/>
              </w:rPr>
            </w:pPr>
            <w:r w:rsidRPr="00CB0D23">
              <w:rPr>
                <w:rFonts w:asciiTheme="majorHAnsi" w:hAnsiTheme="majorHAnsi"/>
                <w:b/>
              </w:rPr>
              <w:t>Specific conditions</w:t>
            </w:r>
          </w:p>
        </w:tc>
      </w:tr>
      <w:tr w:rsidR="00CB0D23" w:rsidRPr="00CB0D23" w14:paraId="4F344EBF" w14:textId="77777777" w:rsidTr="00195612">
        <w:tc>
          <w:tcPr>
            <w:tcW w:w="0" w:type="auto"/>
          </w:tcPr>
          <w:p w14:paraId="7FDA5BDD"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Expected EU contribution per project</w:t>
            </w:r>
          </w:p>
        </w:tc>
        <w:tc>
          <w:tcPr>
            <w:tcW w:w="0" w:type="auto"/>
          </w:tcPr>
          <w:p w14:paraId="77032877" w14:textId="77777777" w:rsidR="00CB0D23" w:rsidRPr="00CB0D23" w:rsidRDefault="00CB0D23" w:rsidP="00195612">
            <w:pPr>
              <w:pStyle w:val="CellTextValue"/>
              <w:rPr>
                <w:rFonts w:asciiTheme="majorHAnsi" w:hAnsiTheme="majorHAnsi"/>
              </w:rPr>
            </w:pPr>
            <w:r w:rsidRPr="00CB0D23">
              <w:rPr>
                <w:rFonts w:asciiTheme="majorHAnsi" w:hAnsiTheme="majorHAnsi"/>
              </w:rPr>
              <w:t>The Commission estimates that an EU contribution of around EUR 5.00 million would allow these outcomes to be addressed appropriately. Nonetheless, this does not preclude submission and selection of a proposal requesting different amounts.</w:t>
            </w:r>
          </w:p>
        </w:tc>
      </w:tr>
      <w:tr w:rsidR="00CB0D23" w:rsidRPr="00CB0D23" w14:paraId="6987C8EA" w14:textId="77777777" w:rsidTr="00195612">
        <w:tc>
          <w:tcPr>
            <w:tcW w:w="0" w:type="auto"/>
          </w:tcPr>
          <w:p w14:paraId="24BDD66C"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Indicative budget</w:t>
            </w:r>
          </w:p>
        </w:tc>
        <w:tc>
          <w:tcPr>
            <w:tcW w:w="0" w:type="auto"/>
          </w:tcPr>
          <w:p w14:paraId="21D7A954" w14:textId="77777777" w:rsidR="00CB0D23" w:rsidRPr="00CB0D23" w:rsidRDefault="00CB0D23" w:rsidP="00195612">
            <w:pPr>
              <w:pStyle w:val="CellTextValue"/>
              <w:rPr>
                <w:rFonts w:asciiTheme="majorHAnsi" w:hAnsiTheme="majorHAnsi"/>
              </w:rPr>
            </w:pPr>
            <w:r w:rsidRPr="00CB0D23">
              <w:rPr>
                <w:rFonts w:asciiTheme="majorHAnsi" w:hAnsiTheme="majorHAnsi"/>
              </w:rPr>
              <w:t>The total indicative budget for the topic is EUR 15.00 million.</w:t>
            </w:r>
          </w:p>
        </w:tc>
      </w:tr>
      <w:tr w:rsidR="00CB0D23" w:rsidRPr="00CB0D23" w14:paraId="7F087CB7" w14:textId="77777777" w:rsidTr="00195612">
        <w:tc>
          <w:tcPr>
            <w:tcW w:w="0" w:type="auto"/>
          </w:tcPr>
          <w:p w14:paraId="1933AB34"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Type of Action</w:t>
            </w:r>
          </w:p>
        </w:tc>
        <w:tc>
          <w:tcPr>
            <w:tcW w:w="0" w:type="auto"/>
          </w:tcPr>
          <w:p w14:paraId="6E3B9678"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Research and Innovation Actions</w:t>
            </w:r>
          </w:p>
        </w:tc>
      </w:tr>
      <w:tr w:rsidR="00CB0D23" w:rsidRPr="00CB0D23" w14:paraId="7620AC14" w14:textId="77777777" w:rsidTr="00195612">
        <w:tc>
          <w:tcPr>
            <w:tcW w:w="0" w:type="auto"/>
          </w:tcPr>
          <w:p w14:paraId="03A573E4"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Eligibility conditions</w:t>
            </w:r>
          </w:p>
        </w:tc>
        <w:tc>
          <w:tcPr>
            <w:tcW w:w="0" w:type="auto"/>
          </w:tcPr>
          <w:p w14:paraId="7D5BAB98"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The conditions are described in General Annex B. The following exceptions apply:</w:t>
            </w:r>
          </w:p>
          <w:p w14:paraId="40D2E825"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If projects use satellite-based earth observation, positioning, navigation and/or related timing data and services, beneficiaries must make use of Copernicus and/or Galileo/EGNOS (other data and services may additionally be used).</w:t>
            </w:r>
          </w:p>
        </w:tc>
      </w:tr>
      <w:tr w:rsidR="00CB0D23" w:rsidRPr="00CB0D23" w14:paraId="36391C5C" w14:textId="77777777" w:rsidTr="00195612">
        <w:tc>
          <w:tcPr>
            <w:tcW w:w="0" w:type="auto"/>
          </w:tcPr>
          <w:p w14:paraId="5E7676E5"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Procedure</w:t>
            </w:r>
          </w:p>
        </w:tc>
        <w:tc>
          <w:tcPr>
            <w:tcW w:w="0" w:type="auto"/>
          </w:tcPr>
          <w:p w14:paraId="01BC244F"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The procedure is described in General Annex F. The following exceptions apply:</w:t>
            </w:r>
          </w:p>
          <w:p w14:paraId="29C99A81"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To ensure a balanced portfolio covering all the areas described in the scope section (A, B and C), grants will be awarded to applications not only in order of ranking but at least also to one proposal that is the highest ranked within each priority area, provided that the corresponding applications attain all thresholds. Proposals should clearly indicate the research area they have selected.</w:t>
            </w:r>
          </w:p>
        </w:tc>
      </w:tr>
      <w:tr w:rsidR="00CB0D23" w:rsidRPr="00CB0D23" w14:paraId="25B3D080" w14:textId="77777777" w:rsidTr="00195612">
        <w:tc>
          <w:tcPr>
            <w:tcW w:w="0" w:type="auto"/>
          </w:tcPr>
          <w:p w14:paraId="4801C991"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Legal and financial set-up of the Grant Agreements</w:t>
            </w:r>
          </w:p>
        </w:tc>
        <w:tc>
          <w:tcPr>
            <w:tcW w:w="0" w:type="auto"/>
          </w:tcPr>
          <w:p w14:paraId="079E98D8"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The rules are described in General Annex G. The following exceptions apply:</w:t>
            </w:r>
          </w:p>
          <w:p w14:paraId="6A5A4FC9"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 xml:space="preserve">Eligible costs will take the form of a lump sum as defined in the Decision of 7 July 2021 authorising the use of lump sum contributions under the Horizon Europe Programme – the Framework Programme for Research </w:t>
            </w:r>
            <w:r w:rsidRPr="00CB0D23">
              <w:rPr>
                <w:rFonts w:asciiTheme="majorHAnsi" w:hAnsiTheme="majorHAnsi"/>
                <w:color w:val="000000"/>
              </w:rPr>
              <w:lastRenderedPageBreak/>
              <w:t xml:space="preserve">and Innovation (2021-2027) – and in actions under the Research and Training Programme of the European Atomic Energy Community (2021-2025) </w:t>
            </w:r>
            <w:r w:rsidRPr="00CB0D23">
              <w:rPr>
                <w:rFonts w:asciiTheme="majorHAnsi" w:hAnsiTheme="majorHAnsi"/>
                <w:vertAlign w:val="superscript"/>
              </w:rPr>
              <w:footnoteReference w:id="1"/>
            </w:r>
            <w:r w:rsidRPr="00CB0D23">
              <w:rPr>
                <w:rFonts w:asciiTheme="majorHAnsi" w:hAnsiTheme="majorHAnsi"/>
                <w:color w:val="000000"/>
              </w:rPr>
              <w:t>.</w:t>
            </w:r>
          </w:p>
        </w:tc>
      </w:tr>
    </w:tbl>
    <w:p w14:paraId="7E52895A" w14:textId="77777777" w:rsidR="00CB0D23" w:rsidRPr="00CB0D23" w:rsidRDefault="00CB0D23" w:rsidP="00CB0D23">
      <w:pPr>
        <w:spacing w:after="0" w:line="150" w:lineRule="auto"/>
        <w:rPr>
          <w:rFonts w:asciiTheme="majorHAnsi" w:hAnsiTheme="majorHAnsi"/>
          <w:szCs w:val="24"/>
        </w:rPr>
      </w:pPr>
    </w:p>
    <w:p w14:paraId="3F6C2D25" w14:textId="77777777" w:rsidR="00CB0D23" w:rsidRPr="00CB0D23" w:rsidRDefault="00CB0D23" w:rsidP="00CB0D23">
      <w:pPr>
        <w:rPr>
          <w:rFonts w:asciiTheme="majorHAnsi" w:hAnsiTheme="majorHAnsi"/>
          <w:szCs w:val="24"/>
        </w:rPr>
      </w:pPr>
      <w:r w:rsidRPr="00CB0D23">
        <w:rPr>
          <w:rFonts w:asciiTheme="majorHAnsi" w:hAnsiTheme="majorHAnsi"/>
          <w:szCs w:val="24"/>
          <w:u w:val="single"/>
        </w:rPr>
        <w:t>Expected Outcome</w:t>
      </w:r>
      <w:r w:rsidRPr="00CB0D23">
        <w:rPr>
          <w:rFonts w:asciiTheme="majorHAnsi" w:hAnsiTheme="majorHAnsi"/>
          <w:szCs w:val="24"/>
        </w:rPr>
        <w:t xml:space="preserve">: </w:t>
      </w:r>
      <w:r w:rsidRPr="00CB0D23">
        <w:rPr>
          <w:rFonts w:asciiTheme="majorHAnsi" w:hAnsiTheme="majorHAnsi"/>
          <w:color w:val="000000"/>
          <w:szCs w:val="24"/>
        </w:rPr>
        <w:t>Project results are expected to contribute to all of the following expected outcomes:</w:t>
      </w:r>
    </w:p>
    <w:p w14:paraId="340CAA33" w14:textId="77777777" w:rsidR="00CB0D23" w:rsidRPr="00CB0D23" w:rsidRDefault="00CB0D23" w:rsidP="00CB0D23">
      <w:pPr>
        <w:pStyle w:val="ListParagraph"/>
        <w:numPr>
          <w:ilvl w:val="0"/>
          <w:numId w:val="1"/>
        </w:numPr>
        <w:contextualSpacing w:val="0"/>
        <w:rPr>
          <w:rFonts w:asciiTheme="majorHAnsi" w:hAnsiTheme="majorHAnsi"/>
          <w:szCs w:val="24"/>
        </w:rPr>
      </w:pPr>
      <w:r w:rsidRPr="00CB0D23">
        <w:rPr>
          <w:rFonts w:asciiTheme="majorHAnsi" w:hAnsiTheme="majorHAnsi"/>
          <w:color w:val="000000"/>
          <w:szCs w:val="24"/>
        </w:rPr>
        <w:t>Climate data are improved both spatially and temporally, physically more consistent and better exploited across a wide range of users, stakeholders and regions;</w:t>
      </w:r>
    </w:p>
    <w:p w14:paraId="64EA447C" w14:textId="77777777" w:rsidR="00CB0D23" w:rsidRPr="00CB0D23" w:rsidRDefault="00CB0D23" w:rsidP="00CB0D23">
      <w:pPr>
        <w:pStyle w:val="ListParagraph"/>
        <w:numPr>
          <w:ilvl w:val="0"/>
          <w:numId w:val="1"/>
        </w:numPr>
        <w:contextualSpacing w:val="0"/>
        <w:rPr>
          <w:rFonts w:asciiTheme="majorHAnsi" w:hAnsiTheme="majorHAnsi"/>
          <w:szCs w:val="24"/>
        </w:rPr>
      </w:pPr>
      <w:r w:rsidRPr="00CB0D23">
        <w:rPr>
          <w:rFonts w:asciiTheme="majorHAnsi" w:hAnsiTheme="majorHAnsi"/>
          <w:color w:val="000000"/>
          <w:szCs w:val="24"/>
        </w:rPr>
        <w:t>EU contribution to climate change assessments and climate monitoring is enhanced;</w:t>
      </w:r>
    </w:p>
    <w:p w14:paraId="0A5240B6" w14:textId="77777777" w:rsidR="00CB0D23" w:rsidRPr="00CB0D23" w:rsidRDefault="00CB0D23" w:rsidP="00CB0D23">
      <w:pPr>
        <w:pStyle w:val="ListParagraph"/>
        <w:numPr>
          <w:ilvl w:val="0"/>
          <w:numId w:val="1"/>
        </w:numPr>
        <w:contextualSpacing w:val="0"/>
        <w:rPr>
          <w:rFonts w:asciiTheme="majorHAnsi" w:hAnsiTheme="majorHAnsi"/>
          <w:szCs w:val="24"/>
        </w:rPr>
      </w:pPr>
      <w:r w:rsidRPr="00CB0D23">
        <w:rPr>
          <w:rFonts w:asciiTheme="majorHAnsi" w:hAnsiTheme="majorHAnsi"/>
          <w:color w:val="000000"/>
          <w:szCs w:val="24"/>
        </w:rPr>
        <w:t xml:space="preserve">Climate information distillation is facilitated by innovative methods to provide useful information to policy making in a more efficient way.  </w:t>
      </w:r>
    </w:p>
    <w:p w14:paraId="10893CAB" w14:textId="77777777" w:rsidR="00CB0D23" w:rsidRPr="00CB0D23" w:rsidRDefault="00CB0D23" w:rsidP="00CB0D23">
      <w:pPr>
        <w:rPr>
          <w:rFonts w:asciiTheme="majorHAnsi" w:hAnsiTheme="majorHAnsi"/>
          <w:szCs w:val="24"/>
        </w:rPr>
      </w:pPr>
      <w:r w:rsidRPr="00CB0D23">
        <w:rPr>
          <w:rFonts w:asciiTheme="majorHAnsi" w:hAnsiTheme="majorHAnsi"/>
          <w:szCs w:val="24"/>
          <w:u w:val="single"/>
        </w:rPr>
        <w:t>Scope</w:t>
      </w:r>
      <w:r w:rsidRPr="00CB0D23">
        <w:rPr>
          <w:rFonts w:asciiTheme="majorHAnsi" w:hAnsiTheme="majorHAnsi"/>
          <w:szCs w:val="24"/>
        </w:rPr>
        <w:t xml:space="preserve">: </w:t>
      </w:r>
      <w:r w:rsidRPr="00CB0D23">
        <w:rPr>
          <w:rFonts w:asciiTheme="majorHAnsi" w:hAnsiTheme="majorHAnsi"/>
          <w:color w:val="000000"/>
          <w:szCs w:val="24"/>
        </w:rPr>
        <w:t>Climate monitoring of Essential Climate Variables</w:t>
      </w:r>
      <w:r w:rsidRPr="00CB0D23">
        <w:rPr>
          <w:rFonts w:asciiTheme="majorHAnsi" w:hAnsiTheme="majorHAnsi"/>
          <w:szCs w:val="24"/>
          <w:vertAlign w:val="superscript"/>
        </w:rPr>
        <w:footnoteReference w:id="2"/>
      </w:r>
      <w:r w:rsidRPr="00CB0D23">
        <w:rPr>
          <w:rFonts w:asciiTheme="majorHAnsi" w:hAnsiTheme="majorHAnsi"/>
          <w:color w:val="000000"/>
          <w:szCs w:val="24"/>
        </w:rPr>
        <w:t xml:space="preserve"> at global and regional scales is crucial to assess the state of our climate, its variability and change, and to track progress towards the goals of the Paris Agreement and the corresponding EU climate objectives. Underlying elements, in particular climate data records, reanalyses and forcings, are fundamental to climate science and serve multiple applications across weather, climate, environmental and sectoral domains, generating societal benefits. In turn, methods to distil information from this wealth of data can help extract relevant knowledge and key messages for climate policymaking.</w:t>
      </w:r>
    </w:p>
    <w:p w14:paraId="7BE92896"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Proposals should address only one of the following priority areas, which must be clearly indicated:</w:t>
      </w:r>
    </w:p>
    <w:p w14:paraId="3AC6F2BC"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A. Next generation climate data records</w:t>
      </w:r>
    </w:p>
    <w:p w14:paraId="7D5AF407"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Actions should advance innovative methods to enhance, expand and update climate data records; exploit recently rescued and/or new data streams; develop innovative methods to improve the water-energy-carbon cycle physical and bio-geochemical consistency across data records; and improve their applicability for users.</w:t>
      </w:r>
    </w:p>
    <w:p w14:paraId="2550B9AA"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B. Next generation Earth system reanalyses</w:t>
      </w:r>
    </w:p>
    <w:p w14:paraId="24EF71D2"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 xml:space="preserve">Actions should undertake research to prepare for the next generation global and European high resolution climate reanalyses. Progress is expected in enhanced data assimilation methods, further coupling the Earth system components, expanding atmospheric composition reanalysis backward in time, piloting carbon-energy-water cycle reanalyses, exploring data-driven methods </w:t>
      </w:r>
      <w:r w:rsidRPr="00CB0D23">
        <w:rPr>
          <w:rFonts w:asciiTheme="majorHAnsi" w:hAnsiTheme="majorHAnsi"/>
          <w:color w:val="000000"/>
          <w:szCs w:val="24"/>
        </w:rPr>
        <w:lastRenderedPageBreak/>
        <w:t>for reanalyses, and applying such improvements in subsequent applications and international initiatives.</w:t>
      </w:r>
    </w:p>
    <w:p w14:paraId="10EE4E92"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C. Next generation climate forcing and emission data sets</w:t>
      </w:r>
    </w:p>
    <w:p w14:paraId="2149033E"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Actions are expected to conduct research to ensure more updated and sustained production, and quality assurance procedures of climate forcings and emissions data sets in support of international climate change assessments and climate simulations, including harmonization between forcing and emission data sets (historical and scenarios).</w:t>
      </w:r>
    </w:p>
    <w:p w14:paraId="090E30F3"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All actions should promote the development and use of new, rescued or proxy data streams, and innovative digital tools and methods, including AI-based, to transform climate data into actionable knowledge. These efforts should align with, build upon, and support global intercomparison and coordination frameworks such as CMIP, promoting standardisation, accessibility and utility of climate information across climate science and service user communities, with due consideration of FAIR principles.</w:t>
      </w:r>
    </w:p>
    <w:p w14:paraId="0078A270"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Noting the current divestment of the US in climate and environmental related monitoring networks, which may severely impact climate research and services worldwide, proposers are requested to dedicate resources to the assessment and mitigation of such impacts towards increased resilience of climate monitoring at European and global scale.</w:t>
      </w:r>
    </w:p>
    <w:p w14:paraId="2EFC5318"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Research areas of particular interest include new data mining capabilities to facilitate the identification of events and areas of interest, anomalous climate behaviours, unexpected trends, etc. within those data sets. Equally welcome are methods to automate regular and consistent climate reporting along agreed climate indicators, to distil useful climate information (i.e. climate intelligence), and to derive knowledge tailored to relevant users (e.g. for sectoral applications and assessment such as biodiversity monitoring and ecosystem management), from expert users to policy makers and the general public.</w:t>
      </w:r>
    </w:p>
    <w:p w14:paraId="210C803C"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International cooperation in the context of WCRP</w:t>
      </w:r>
      <w:r w:rsidRPr="00CB0D23">
        <w:rPr>
          <w:rFonts w:asciiTheme="majorHAnsi" w:hAnsiTheme="majorHAnsi"/>
          <w:szCs w:val="24"/>
          <w:vertAlign w:val="superscript"/>
        </w:rPr>
        <w:footnoteReference w:id="3"/>
      </w:r>
      <w:r w:rsidRPr="00CB0D23">
        <w:rPr>
          <w:rFonts w:asciiTheme="majorHAnsi" w:hAnsiTheme="majorHAnsi"/>
          <w:color w:val="000000"/>
          <w:szCs w:val="24"/>
        </w:rPr>
        <w:t>, GCOS</w:t>
      </w:r>
      <w:r w:rsidRPr="00CB0D23">
        <w:rPr>
          <w:rFonts w:asciiTheme="majorHAnsi" w:hAnsiTheme="majorHAnsi"/>
          <w:szCs w:val="24"/>
          <w:vertAlign w:val="superscript"/>
        </w:rPr>
        <w:footnoteReference w:id="4"/>
      </w:r>
      <w:r w:rsidRPr="00CB0D23">
        <w:rPr>
          <w:rFonts w:asciiTheme="majorHAnsi" w:hAnsiTheme="majorHAnsi"/>
          <w:color w:val="000000"/>
          <w:szCs w:val="24"/>
        </w:rPr>
        <w:t>, IAMC</w:t>
      </w:r>
      <w:r w:rsidRPr="00CB0D23">
        <w:rPr>
          <w:rFonts w:asciiTheme="majorHAnsi" w:hAnsiTheme="majorHAnsi"/>
          <w:szCs w:val="24"/>
          <w:vertAlign w:val="superscript"/>
        </w:rPr>
        <w:footnoteReference w:id="5"/>
      </w:r>
      <w:r w:rsidRPr="00CB0D23">
        <w:rPr>
          <w:rFonts w:asciiTheme="majorHAnsi" w:hAnsiTheme="majorHAnsi"/>
          <w:color w:val="000000"/>
          <w:szCs w:val="24"/>
        </w:rPr>
        <w:t>, and close coordination and complementarity with Copernicus, Destination Earth, and relevant agencies are strongly encouraged.</w:t>
      </w:r>
    </w:p>
    <w:p w14:paraId="6EAB2C39" w14:textId="77777777" w:rsidR="00CB0D23" w:rsidRDefault="00CB0D23">
      <w:pPr>
        <w:spacing w:after="160" w:line="278" w:lineRule="auto"/>
        <w:jc w:val="left"/>
        <w:rPr>
          <w:rFonts w:asciiTheme="majorHAnsi" w:eastAsiaTheme="majorEastAsia" w:hAnsiTheme="majorHAnsi" w:cs="Times New Roman"/>
          <w:b/>
          <w:bCs/>
          <w:color w:val="0070C0"/>
          <w:szCs w:val="24"/>
        </w:rPr>
      </w:pPr>
      <w:bookmarkStart w:id="1" w:name="_Toc204165319"/>
      <w:r>
        <w:rPr>
          <w:rFonts w:asciiTheme="majorHAnsi" w:hAnsiTheme="majorHAnsi"/>
          <w:szCs w:val="24"/>
        </w:rPr>
        <w:br w:type="page"/>
      </w:r>
    </w:p>
    <w:p w14:paraId="77A04BD5" w14:textId="1590CA3C" w:rsidR="00CB0D23" w:rsidRDefault="00CB0D23" w:rsidP="00CB0D23">
      <w:pPr>
        <w:pStyle w:val="HeadingThree"/>
        <w:rPr>
          <w:rFonts w:asciiTheme="majorHAnsi" w:hAnsiTheme="majorHAnsi"/>
          <w:sz w:val="24"/>
          <w:szCs w:val="24"/>
        </w:rPr>
      </w:pPr>
      <w:r w:rsidRPr="00CB0D23">
        <w:rPr>
          <w:rFonts w:asciiTheme="majorHAnsi" w:hAnsiTheme="majorHAnsi"/>
          <w:sz w:val="24"/>
          <w:szCs w:val="24"/>
        </w:rPr>
        <w:lastRenderedPageBreak/>
        <w:t>HORIZON-CL5-2026-07-D1-02: Advancing European climate risk assessments</w:t>
      </w:r>
      <w:bookmarkEnd w:id="1"/>
    </w:p>
    <w:p w14:paraId="16D13362" w14:textId="77777777" w:rsidR="001A7117" w:rsidRPr="001A7117" w:rsidRDefault="001A7117" w:rsidP="001A7117">
      <w:pPr>
        <w:rPr>
          <w:rFonts w:asciiTheme="majorHAnsi" w:hAnsiTheme="majorHAnsi"/>
        </w:rPr>
      </w:pPr>
      <w:r w:rsidRPr="001A7117">
        <w:rPr>
          <w:rFonts w:asciiTheme="majorHAnsi" w:hAnsiTheme="majorHAnsi"/>
        </w:rPr>
        <w:t>Call Opens: Dec 18 2025</w:t>
      </w:r>
    </w:p>
    <w:p w14:paraId="53985A68" w14:textId="6DAB5DCC" w:rsidR="001A7117" w:rsidRPr="001A7117" w:rsidRDefault="001A7117" w:rsidP="001A7117">
      <w:pPr>
        <w:rPr>
          <w:rFonts w:asciiTheme="majorHAnsi" w:hAnsiTheme="majorHAnsi"/>
        </w:rPr>
      </w:pPr>
      <w:r w:rsidRPr="001A7117">
        <w:rPr>
          <w:rFonts w:asciiTheme="majorHAnsi" w:hAnsiTheme="majorHAnsi"/>
        </w:rPr>
        <w:t>Deadline: April 15 2026</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7"/>
        <w:gridCol w:w="7273"/>
      </w:tblGrid>
      <w:tr w:rsidR="00CB0D23" w:rsidRPr="00CB0D23" w14:paraId="5CB78D30" w14:textId="77777777" w:rsidTr="00195612">
        <w:tc>
          <w:tcPr>
            <w:tcW w:w="0" w:type="auto"/>
            <w:gridSpan w:val="2"/>
          </w:tcPr>
          <w:p w14:paraId="5B8A1E41" w14:textId="77777777" w:rsidR="00CB0D23" w:rsidRPr="00CB0D23" w:rsidRDefault="00CB0D23" w:rsidP="00195612">
            <w:pPr>
              <w:pStyle w:val="CellTextValue"/>
              <w:rPr>
                <w:rFonts w:asciiTheme="majorHAnsi" w:hAnsiTheme="majorHAnsi"/>
              </w:rPr>
            </w:pPr>
            <w:r w:rsidRPr="00CB0D23">
              <w:rPr>
                <w:rFonts w:asciiTheme="majorHAnsi" w:hAnsiTheme="majorHAnsi"/>
                <w:b/>
              </w:rPr>
              <w:t>Call: Cluster 5 Call 07-2026 (WP2026-2027)</w:t>
            </w:r>
          </w:p>
        </w:tc>
      </w:tr>
      <w:tr w:rsidR="00CB0D23" w:rsidRPr="00CB0D23" w14:paraId="6CD38DFD" w14:textId="77777777" w:rsidTr="00195612">
        <w:tc>
          <w:tcPr>
            <w:tcW w:w="0" w:type="auto"/>
            <w:gridSpan w:val="2"/>
          </w:tcPr>
          <w:p w14:paraId="08B041A8" w14:textId="77777777" w:rsidR="00CB0D23" w:rsidRPr="00CB0D23" w:rsidRDefault="00CB0D23" w:rsidP="00195612">
            <w:pPr>
              <w:pStyle w:val="CellTextValue"/>
              <w:rPr>
                <w:rFonts w:asciiTheme="majorHAnsi" w:hAnsiTheme="majorHAnsi"/>
              </w:rPr>
            </w:pPr>
            <w:r w:rsidRPr="00CB0D23">
              <w:rPr>
                <w:rFonts w:asciiTheme="majorHAnsi" w:hAnsiTheme="majorHAnsi"/>
                <w:b/>
              </w:rPr>
              <w:t>Specific conditions</w:t>
            </w:r>
          </w:p>
        </w:tc>
      </w:tr>
      <w:tr w:rsidR="00CB0D23" w:rsidRPr="00CB0D23" w14:paraId="101CEB7E" w14:textId="77777777" w:rsidTr="00195612">
        <w:tc>
          <w:tcPr>
            <w:tcW w:w="0" w:type="auto"/>
          </w:tcPr>
          <w:p w14:paraId="0AFB1973"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Expected EU contribution per project</w:t>
            </w:r>
          </w:p>
        </w:tc>
        <w:tc>
          <w:tcPr>
            <w:tcW w:w="0" w:type="auto"/>
          </w:tcPr>
          <w:p w14:paraId="5E0C120A" w14:textId="77777777" w:rsidR="00CB0D23" w:rsidRPr="00CB0D23" w:rsidRDefault="00CB0D23" w:rsidP="00195612">
            <w:pPr>
              <w:pStyle w:val="CellTextValue"/>
              <w:rPr>
                <w:rFonts w:asciiTheme="majorHAnsi" w:hAnsiTheme="majorHAnsi"/>
              </w:rPr>
            </w:pPr>
            <w:r w:rsidRPr="00CB0D23">
              <w:rPr>
                <w:rFonts w:asciiTheme="majorHAnsi" w:hAnsiTheme="majorHAnsi"/>
              </w:rPr>
              <w:t>The Commission estimates that an EU contribution of between EUR 4.00 and 5.00 million would allow these outcomes to be addressed appropriately. Nonetheless, this does not preclude submission and selection of a proposal requesting different amounts.</w:t>
            </w:r>
          </w:p>
        </w:tc>
      </w:tr>
      <w:tr w:rsidR="00CB0D23" w:rsidRPr="00CB0D23" w14:paraId="4214BAA9" w14:textId="77777777" w:rsidTr="00195612">
        <w:tc>
          <w:tcPr>
            <w:tcW w:w="0" w:type="auto"/>
          </w:tcPr>
          <w:p w14:paraId="4082FCCB"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Indicative budget</w:t>
            </w:r>
          </w:p>
        </w:tc>
        <w:tc>
          <w:tcPr>
            <w:tcW w:w="0" w:type="auto"/>
          </w:tcPr>
          <w:p w14:paraId="7C28BE2D" w14:textId="77777777" w:rsidR="00CB0D23" w:rsidRPr="00CB0D23" w:rsidRDefault="00CB0D23" w:rsidP="00195612">
            <w:pPr>
              <w:pStyle w:val="CellTextValue"/>
              <w:rPr>
                <w:rFonts w:asciiTheme="majorHAnsi" w:hAnsiTheme="majorHAnsi"/>
              </w:rPr>
            </w:pPr>
            <w:r w:rsidRPr="00CB0D23">
              <w:rPr>
                <w:rFonts w:asciiTheme="majorHAnsi" w:hAnsiTheme="majorHAnsi"/>
              </w:rPr>
              <w:t>The total indicative budget for the topic is EUR 15.00 million.</w:t>
            </w:r>
          </w:p>
        </w:tc>
      </w:tr>
      <w:tr w:rsidR="00CB0D23" w:rsidRPr="00CB0D23" w14:paraId="3147497B" w14:textId="77777777" w:rsidTr="00195612">
        <w:tc>
          <w:tcPr>
            <w:tcW w:w="0" w:type="auto"/>
          </w:tcPr>
          <w:p w14:paraId="3049B80B"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Type of Action</w:t>
            </w:r>
          </w:p>
        </w:tc>
        <w:tc>
          <w:tcPr>
            <w:tcW w:w="0" w:type="auto"/>
          </w:tcPr>
          <w:p w14:paraId="17263EE3"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Research and Innovation Actions</w:t>
            </w:r>
          </w:p>
        </w:tc>
      </w:tr>
      <w:tr w:rsidR="00CB0D23" w:rsidRPr="00CB0D23" w14:paraId="50CB6647" w14:textId="77777777" w:rsidTr="00195612">
        <w:tc>
          <w:tcPr>
            <w:tcW w:w="0" w:type="auto"/>
          </w:tcPr>
          <w:p w14:paraId="16DAC44F"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Eligibility conditions</w:t>
            </w:r>
          </w:p>
        </w:tc>
        <w:tc>
          <w:tcPr>
            <w:tcW w:w="0" w:type="auto"/>
          </w:tcPr>
          <w:p w14:paraId="61A9CF42"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The conditions are described in General Annex B. The following exceptions apply:</w:t>
            </w:r>
          </w:p>
          <w:p w14:paraId="4A80F888"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If projects use satellite-based earth observation, positioning, navigation and/or related timing data and services, beneficiaries must make use of Copernicus and/or Galileo/EGNOS (other data and services may additionally be used).</w:t>
            </w:r>
          </w:p>
        </w:tc>
      </w:tr>
      <w:tr w:rsidR="00CB0D23" w:rsidRPr="00CB0D23" w14:paraId="67C74DDB" w14:textId="77777777" w:rsidTr="00195612">
        <w:tc>
          <w:tcPr>
            <w:tcW w:w="0" w:type="auto"/>
          </w:tcPr>
          <w:p w14:paraId="261F88B6"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Legal and financial set-up of the Grant Agreements</w:t>
            </w:r>
          </w:p>
        </w:tc>
        <w:tc>
          <w:tcPr>
            <w:tcW w:w="0" w:type="auto"/>
          </w:tcPr>
          <w:p w14:paraId="22CC7C92"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The rules are described in General Annex G. The following exceptions apply:</w:t>
            </w:r>
          </w:p>
          <w:p w14:paraId="19D3A756"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sidRPr="00CB0D23">
              <w:rPr>
                <w:rFonts w:asciiTheme="majorHAnsi" w:hAnsiTheme="majorHAnsi"/>
                <w:vertAlign w:val="superscript"/>
              </w:rPr>
              <w:footnoteReference w:id="6"/>
            </w:r>
            <w:r w:rsidRPr="00CB0D23">
              <w:rPr>
                <w:rFonts w:asciiTheme="majorHAnsi" w:hAnsiTheme="majorHAnsi"/>
                <w:color w:val="000000"/>
              </w:rPr>
              <w:t>.</w:t>
            </w:r>
          </w:p>
        </w:tc>
      </w:tr>
    </w:tbl>
    <w:p w14:paraId="6402AC90" w14:textId="77777777" w:rsidR="00CB0D23" w:rsidRPr="00CB0D23" w:rsidRDefault="00CB0D23" w:rsidP="00CB0D23">
      <w:pPr>
        <w:spacing w:after="0" w:line="150" w:lineRule="auto"/>
        <w:rPr>
          <w:rFonts w:asciiTheme="majorHAnsi" w:hAnsiTheme="majorHAnsi"/>
          <w:szCs w:val="24"/>
        </w:rPr>
      </w:pPr>
    </w:p>
    <w:p w14:paraId="55A300A1" w14:textId="77777777" w:rsidR="00CB0D23" w:rsidRPr="00CB0D23" w:rsidRDefault="00CB0D23" w:rsidP="00CB0D23">
      <w:pPr>
        <w:rPr>
          <w:rFonts w:asciiTheme="majorHAnsi" w:hAnsiTheme="majorHAnsi"/>
          <w:szCs w:val="24"/>
        </w:rPr>
      </w:pPr>
      <w:r w:rsidRPr="00CB0D23">
        <w:rPr>
          <w:rFonts w:asciiTheme="majorHAnsi" w:hAnsiTheme="majorHAnsi"/>
          <w:szCs w:val="24"/>
          <w:u w:val="single"/>
        </w:rPr>
        <w:t>Expected Outcome</w:t>
      </w:r>
      <w:r w:rsidRPr="00CB0D23">
        <w:rPr>
          <w:rFonts w:asciiTheme="majorHAnsi" w:hAnsiTheme="majorHAnsi"/>
          <w:szCs w:val="24"/>
        </w:rPr>
        <w:t xml:space="preserve">: </w:t>
      </w:r>
      <w:r w:rsidRPr="00CB0D23">
        <w:rPr>
          <w:rFonts w:asciiTheme="majorHAnsi" w:hAnsiTheme="majorHAnsi"/>
          <w:color w:val="000000"/>
          <w:szCs w:val="24"/>
        </w:rPr>
        <w:t>Project results are expected to contribute to all of the following outcomes:</w:t>
      </w:r>
    </w:p>
    <w:p w14:paraId="695C050A" w14:textId="77777777" w:rsidR="00CB0D23" w:rsidRPr="00CB0D23" w:rsidRDefault="00CB0D23" w:rsidP="00CB0D23">
      <w:pPr>
        <w:pStyle w:val="ListParagraph"/>
        <w:numPr>
          <w:ilvl w:val="0"/>
          <w:numId w:val="2"/>
        </w:numPr>
        <w:contextualSpacing w:val="0"/>
        <w:rPr>
          <w:rFonts w:asciiTheme="majorHAnsi" w:hAnsiTheme="majorHAnsi"/>
          <w:szCs w:val="24"/>
        </w:rPr>
      </w:pPr>
      <w:r w:rsidRPr="00CB0D23">
        <w:rPr>
          <w:rFonts w:asciiTheme="majorHAnsi" w:hAnsiTheme="majorHAnsi"/>
          <w:color w:val="000000"/>
          <w:szCs w:val="24"/>
        </w:rPr>
        <w:lastRenderedPageBreak/>
        <w:t>The implementation of the European Adaptation Strategy, European Climate Adaptation Plan, EU Mission on Adaptation to Climate Change (along with other Green Deal Missions), Preparedness Union Strategy, and national adaptation efforts are informed with the latest scientific evidence and enhanced through tailored decision-support tools.</w:t>
      </w:r>
    </w:p>
    <w:p w14:paraId="0A3A47B3" w14:textId="77777777" w:rsidR="00CB0D23" w:rsidRPr="00CB0D23" w:rsidRDefault="00CB0D23" w:rsidP="00CB0D23">
      <w:pPr>
        <w:pStyle w:val="ListParagraph"/>
        <w:numPr>
          <w:ilvl w:val="0"/>
          <w:numId w:val="2"/>
        </w:numPr>
        <w:contextualSpacing w:val="0"/>
        <w:rPr>
          <w:rFonts w:asciiTheme="majorHAnsi" w:hAnsiTheme="majorHAnsi"/>
          <w:szCs w:val="24"/>
        </w:rPr>
      </w:pPr>
      <w:r w:rsidRPr="00CB0D23">
        <w:rPr>
          <w:rFonts w:asciiTheme="majorHAnsi" w:hAnsiTheme="majorHAnsi"/>
          <w:color w:val="000000"/>
          <w:szCs w:val="24"/>
        </w:rPr>
        <w:t>Knowledge gaps identified in the EU Climate Risk Assessments (EUCRA)</w:t>
      </w:r>
      <w:r w:rsidRPr="00CB0D23">
        <w:rPr>
          <w:rFonts w:asciiTheme="majorHAnsi" w:hAnsiTheme="majorHAnsi"/>
          <w:szCs w:val="24"/>
          <w:vertAlign w:val="superscript"/>
        </w:rPr>
        <w:footnoteReference w:id="7"/>
      </w:r>
      <w:r w:rsidRPr="00CB0D23">
        <w:rPr>
          <w:rFonts w:asciiTheme="majorHAnsi" w:hAnsiTheme="majorHAnsi"/>
          <w:color w:val="000000"/>
          <w:szCs w:val="24"/>
        </w:rPr>
        <w:t xml:space="preserve"> and latest IPCC assessments are narrowed, including system specific, region specific and cross-cutting gaps, so that the future EUCRAs benefit from a significant reduction of current risk assessment limitations and useful knowledge is available for various policymaking contexts.  </w:t>
      </w:r>
    </w:p>
    <w:p w14:paraId="78DD4330" w14:textId="77777777" w:rsidR="00CB0D23" w:rsidRPr="00CB0D23" w:rsidRDefault="00CB0D23" w:rsidP="00CB0D23">
      <w:pPr>
        <w:rPr>
          <w:rFonts w:asciiTheme="majorHAnsi" w:hAnsiTheme="majorHAnsi"/>
          <w:szCs w:val="24"/>
        </w:rPr>
      </w:pPr>
      <w:r w:rsidRPr="00CB0D23">
        <w:rPr>
          <w:rFonts w:asciiTheme="majorHAnsi" w:hAnsiTheme="majorHAnsi"/>
          <w:szCs w:val="24"/>
          <w:u w:val="single"/>
        </w:rPr>
        <w:t>Scope</w:t>
      </w:r>
      <w:r w:rsidRPr="00CB0D23">
        <w:rPr>
          <w:rFonts w:asciiTheme="majorHAnsi" w:hAnsiTheme="majorHAnsi"/>
          <w:szCs w:val="24"/>
        </w:rPr>
        <w:t xml:space="preserve">: </w:t>
      </w:r>
      <w:r w:rsidRPr="00CB0D23">
        <w:rPr>
          <w:rFonts w:asciiTheme="majorHAnsi" w:hAnsiTheme="majorHAnsi"/>
          <w:color w:val="000000"/>
          <w:szCs w:val="24"/>
        </w:rPr>
        <w:t>The development and implementation of climate adaptation strategies and plans of the EU and Member States rely on the most accurate and decision-useful assessments of climate risks that science can provide. For this purpose, the new knowledge feeding future EUCRAs will be essential. In the first report, a number of gaps in terms of knowledge and action, and corresponding recommendations are highlighted to underpin more effective EU policy intervention to manage climate risks, stressing the importance of a systemic approach to climate risk assessments, adaptation and resilience and of the interaction with non-climate risk drivers (e.g. such as biodiversity loss and ecosystem degradation).</w:t>
      </w:r>
    </w:p>
    <w:p w14:paraId="5B678C3C"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To support the future EUCRAs and advance adaptation and climate preparedness, actions should improve the understanding and quantification of climate risks, their underlying drivers, and reduce associated uncertainties for different systems and regions. New knowledge should be integrated to assess the risks of wildcards (high impact low probability or black swan events), crossing of tipping points and transboundary, compound and cascading risks in a way that can facilitate decision-making.</w:t>
      </w:r>
    </w:p>
    <w:p w14:paraId="2E7BC71E"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Evidence from recent experiences of materialised climate risks and the performance of adaptation efforts, encompassing the whole range from failure to success and including the role of behavioural aspects, should be mapped and analysed to improve understanding of the key factors that determine effective environmental and social resilience, preparedness and adaptation capacity</w:t>
      </w:r>
      <w:r w:rsidRPr="00CB0D23">
        <w:rPr>
          <w:rFonts w:asciiTheme="majorHAnsi" w:hAnsiTheme="majorHAnsi"/>
          <w:szCs w:val="24"/>
          <w:vertAlign w:val="superscript"/>
        </w:rPr>
        <w:footnoteReference w:id="8"/>
      </w:r>
      <w:r w:rsidRPr="00CB0D23">
        <w:rPr>
          <w:rFonts w:asciiTheme="majorHAnsi" w:hAnsiTheme="majorHAnsi"/>
          <w:color w:val="000000"/>
          <w:szCs w:val="24"/>
        </w:rPr>
        <w:t>. However, developing context-specific adaptation strategies is out of the scope of this topic.</w:t>
      </w:r>
    </w:p>
    <w:p w14:paraId="5D92A443"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 xml:space="preserve">The main focus is tackling knowledge gaps identified in the EUCRA. Actions should extend and improve the evidence base by retrieving inputs from relevant end-users, including local and regional authorities, and civil society organisations. While general aspects should cover the whole EU, actions should also improve understanding of sub-European and national to local specific </w:t>
      </w:r>
      <w:r w:rsidRPr="00CB0D23">
        <w:rPr>
          <w:rFonts w:asciiTheme="majorHAnsi" w:hAnsiTheme="majorHAnsi"/>
          <w:color w:val="000000"/>
          <w:szCs w:val="24"/>
        </w:rPr>
        <w:lastRenderedPageBreak/>
        <w:t>risks. Actions should enhance methodologies and tools for risk assessment, making the outputs available through user-oriented EU portals. For these purposes, proposals should:</w:t>
      </w:r>
    </w:p>
    <w:p w14:paraId="5DB47A6D" w14:textId="77777777" w:rsidR="00CB0D23" w:rsidRPr="00CB0D23" w:rsidRDefault="00CB0D23" w:rsidP="00CB0D23">
      <w:pPr>
        <w:pStyle w:val="ListParagraph"/>
        <w:numPr>
          <w:ilvl w:val="0"/>
          <w:numId w:val="3"/>
        </w:numPr>
        <w:contextualSpacing w:val="0"/>
        <w:rPr>
          <w:rFonts w:asciiTheme="majorHAnsi" w:hAnsiTheme="majorHAnsi"/>
          <w:szCs w:val="24"/>
        </w:rPr>
      </w:pPr>
      <w:r w:rsidRPr="00CB0D23">
        <w:rPr>
          <w:rFonts w:asciiTheme="majorHAnsi" w:hAnsiTheme="majorHAnsi"/>
          <w:color w:val="000000"/>
          <w:szCs w:val="24"/>
        </w:rPr>
        <w:t>Address at least two systems or sectors (e.g. ecosystems, food, health, infrastructures, energy, water, economy and finance, etc.) that interact and have transboundary effects.</w:t>
      </w:r>
    </w:p>
    <w:p w14:paraId="6FC98A80" w14:textId="77777777" w:rsidR="00CB0D23" w:rsidRPr="00CB0D23" w:rsidRDefault="00CB0D23" w:rsidP="00CB0D23">
      <w:pPr>
        <w:pStyle w:val="ListParagraph"/>
        <w:numPr>
          <w:ilvl w:val="0"/>
          <w:numId w:val="3"/>
        </w:numPr>
        <w:contextualSpacing w:val="0"/>
        <w:rPr>
          <w:rFonts w:asciiTheme="majorHAnsi" w:hAnsiTheme="majorHAnsi"/>
          <w:szCs w:val="24"/>
        </w:rPr>
      </w:pPr>
      <w:r w:rsidRPr="00CB0D23">
        <w:rPr>
          <w:rFonts w:asciiTheme="majorHAnsi" w:hAnsiTheme="majorHAnsi"/>
          <w:color w:val="000000"/>
          <w:szCs w:val="24"/>
        </w:rPr>
        <w:t>Include study cases at sub-European scale. While all the cases together should cover the 4 regions defined in EUCRA</w:t>
      </w:r>
      <w:r w:rsidRPr="00CB0D23">
        <w:rPr>
          <w:rFonts w:asciiTheme="majorHAnsi" w:hAnsiTheme="majorHAnsi"/>
          <w:szCs w:val="24"/>
          <w:vertAlign w:val="superscript"/>
        </w:rPr>
        <w:footnoteReference w:id="9"/>
      </w:r>
      <w:r w:rsidRPr="00CB0D23">
        <w:rPr>
          <w:rFonts w:asciiTheme="majorHAnsi" w:hAnsiTheme="majorHAnsi"/>
          <w:color w:val="000000"/>
          <w:szCs w:val="24"/>
        </w:rPr>
        <w:t xml:space="preserve">, some of the individual cases should also address the transnational dimension (i.e. include more than one country of the particular region).  </w:t>
      </w:r>
    </w:p>
    <w:p w14:paraId="21D347B7"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Actions should contribute to future editions of EUCRA. Specific resources should be devoted to this purpose. Actions should leverage recent advances on other climate risk assessments and related frameworks from reliable sources (e.g. the World Climate Research Programme, WCRP).</w:t>
      </w:r>
    </w:p>
    <w:p w14:paraId="4172EAA8"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Actions are encouraged to integrate multiple data sources and to leverage digital technologies, such as AI/ML techniques, tools, and models, including those developed under the European Commission’s Destination Earth initiative, if appropriate.</w:t>
      </w:r>
    </w:p>
    <w:p w14:paraId="70A10B31"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Coordination and collaboration with the most relevant projects from Mission Adaptation, Cluster 5 Destination 1 on Climate Science and Responses is encouraged, especially for evidence retrieval, national to local scale assessment, methodological consistency, and cross-fertilisation through project scientific boards; and with projects from Cluster 3 Destination Disaster-Resilient Society for Europe for knowledge exchange and better integration of end-user perspectives. Actions are encouraged to make use of the European research infrastructures including Integrated Research Infrastructure Services for Climate Change Risks</w:t>
      </w:r>
      <w:r w:rsidRPr="00CB0D23">
        <w:rPr>
          <w:rFonts w:asciiTheme="majorHAnsi" w:hAnsiTheme="majorHAnsi"/>
          <w:szCs w:val="24"/>
          <w:vertAlign w:val="superscript"/>
        </w:rPr>
        <w:footnoteReference w:id="10"/>
      </w:r>
      <w:r w:rsidRPr="00CB0D23">
        <w:rPr>
          <w:rFonts w:asciiTheme="majorHAnsi" w:hAnsiTheme="majorHAnsi"/>
          <w:color w:val="000000"/>
          <w:szCs w:val="24"/>
        </w:rPr>
        <w:t>, if appropriate.</w:t>
      </w:r>
    </w:p>
    <w:p w14:paraId="38331A80" w14:textId="77777777" w:rsidR="00CB0D23" w:rsidRDefault="00CB0D23">
      <w:pPr>
        <w:spacing w:after="160" w:line="278" w:lineRule="auto"/>
        <w:jc w:val="left"/>
        <w:rPr>
          <w:rFonts w:asciiTheme="majorHAnsi" w:eastAsiaTheme="majorEastAsia" w:hAnsiTheme="majorHAnsi" w:cs="Times New Roman"/>
          <w:b/>
          <w:bCs/>
          <w:color w:val="0070C0"/>
          <w:szCs w:val="24"/>
        </w:rPr>
      </w:pPr>
      <w:bookmarkStart w:id="2" w:name="_Toc204165320"/>
      <w:r>
        <w:rPr>
          <w:rFonts w:asciiTheme="majorHAnsi" w:hAnsiTheme="majorHAnsi"/>
          <w:szCs w:val="24"/>
        </w:rPr>
        <w:br w:type="page"/>
      </w:r>
    </w:p>
    <w:p w14:paraId="6D3740AC" w14:textId="37CC6B09" w:rsidR="00CB0D23" w:rsidRDefault="00CB0D23" w:rsidP="00CB0D23">
      <w:pPr>
        <w:pStyle w:val="HeadingThree"/>
        <w:rPr>
          <w:rFonts w:asciiTheme="majorHAnsi" w:hAnsiTheme="majorHAnsi"/>
          <w:sz w:val="24"/>
          <w:szCs w:val="24"/>
        </w:rPr>
      </w:pPr>
      <w:r w:rsidRPr="00CB0D23">
        <w:rPr>
          <w:rFonts w:asciiTheme="majorHAnsi" w:hAnsiTheme="majorHAnsi"/>
          <w:sz w:val="24"/>
          <w:szCs w:val="24"/>
        </w:rPr>
        <w:lastRenderedPageBreak/>
        <w:t>HORIZON-CL5-2026-07-D1-03: Economics of climate change and cost of inaction</w:t>
      </w:r>
      <w:bookmarkEnd w:id="2"/>
    </w:p>
    <w:p w14:paraId="2DF67DAF" w14:textId="77777777" w:rsidR="001A7117" w:rsidRPr="001A7117" w:rsidRDefault="001A7117" w:rsidP="001A7117">
      <w:pPr>
        <w:rPr>
          <w:rFonts w:asciiTheme="majorHAnsi" w:hAnsiTheme="majorHAnsi"/>
        </w:rPr>
      </w:pPr>
      <w:r w:rsidRPr="001A7117">
        <w:rPr>
          <w:rFonts w:asciiTheme="majorHAnsi" w:hAnsiTheme="majorHAnsi"/>
        </w:rPr>
        <w:t>Call Opens: Dec 18 2025</w:t>
      </w:r>
    </w:p>
    <w:p w14:paraId="73E4DCC6" w14:textId="170ED5E9" w:rsidR="001A7117" w:rsidRPr="001A7117" w:rsidRDefault="001A7117" w:rsidP="001A7117">
      <w:pPr>
        <w:rPr>
          <w:rFonts w:asciiTheme="majorHAnsi" w:hAnsiTheme="majorHAnsi"/>
        </w:rPr>
      </w:pPr>
      <w:r w:rsidRPr="001A7117">
        <w:rPr>
          <w:rFonts w:asciiTheme="majorHAnsi" w:hAnsiTheme="majorHAnsi"/>
        </w:rPr>
        <w:t>Deadline: April 15 2026</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6"/>
        <w:gridCol w:w="7274"/>
      </w:tblGrid>
      <w:tr w:rsidR="00CB0D23" w:rsidRPr="00CB0D23" w14:paraId="024E3631" w14:textId="77777777" w:rsidTr="00195612">
        <w:tc>
          <w:tcPr>
            <w:tcW w:w="0" w:type="auto"/>
            <w:gridSpan w:val="2"/>
          </w:tcPr>
          <w:p w14:paraId="7BB8F9A5" w14:textId="77777777" w:rsidR="00CB0D23" w:rsidRPr="00CB0D23" w:rsidRDefault="00CB0D23" w:rsidP="00195612">
            <w:pPr>
              <w:pStyle w:val="CellTextValue"/>
              <w:rPr>
                <w:rFonts w:asciiTheme="majorHAnsi" w:hAnsiTheme="majorHAnsi"/>
              </w:rPr>
            </w:pPr>
            <w:r w:rsidRPr="00CB0D23">
              <w:rPr>
                <w:rFonts w:asciiTheme="majorHAnsi" w:hAnsiTheme="majorHAnsi"/>
                <w:b/>
              </w:rPr>
              <w:t>Call: Cluster 5 Call 07-2026 (WP2026-2027)</w:t>
            </w:r>
          </w:p>
        </w:tc>
      </w:tr>
      <w:tr w:rsidR="00CB0D23" w:rsidRPr="00CB0D23" w14:paraId="417EA385" w14:textId="77777777" w:rsidTr="00195612">
        <w:tc>
          <w:tcPr>
            <w:tcW w:w="0" w:type="auto"/>
            <w:gridSpan w:val="2"/>
          </w:tcPr>
          <w:p w14:paraId="0D81A409" w14:textId="77777777" w:rsidR="00CB0D23" w:rsidRPr="00CB0D23" w:rsidRDefault="00CB0D23" w:rsidP="00195612">
            <w:pPr>
              <w:pStyle w:val="CellTextValue"/>
              <w:rPr>
                <w:rFonts w:asciiTheme="majorHAnsi" w:hAnsiTheme="majorHAnsi"/>
              </w:rPr>
            </w:pPr>
            <w:r w:rsidRPr="00CB0D23">
              <w:rPr>
                <w:rFonts w:asciiTheme="majorHAnsi" w:hAnsiTheme="majorHAnsi"/>
                <w:b/>
              </w:rPr>
              <w:t>Specific conditions</w:t>
            </w:r>
          </w:p>
        </w:tc>
      </w:tr>
      <w:tr w:rsidR="00CB0D23" w:rsidRPr="00CB0D23" w14:paraId="35212B44" w14:textId="77777777" w:rsidTr="00195612">
        <w:tc>
          <w:tcPr>
            <w:tcW w:w="0" w:type="auto"/>
          </w:tcPr>
          <w:p w14:paraId="32540347"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Expected EU contribution per project</w:t>
            </w:r>
          </w:p>
        </w:tc>
        <w:tc>
          <w:tcPr>
            <w:tcW w:w="0" w:type="auto"/>
          </w:tcPr>
          <w:p w14:paraId="5C0E8C17" w14:textId="77777777" w:rsidR="00CB0D23" w:rsidRPr="00CB0D23" w:rsidRDefault="00CB0D23" w:rsidP="00195612">
            <w:pPr>
              <w:pStyle w:val="CellTextValue"/>
              <w:rPr>
                <w:rFonts w:asciiTheme="majorHAnsi" w:hAnsiTheme="majorHAnsi"/>
              </w:rPr>
            </w:pPr>
            <w:r w:rsidRPr="00CB0D23">
              <w:rPr>
                <w:rFonts w:asciiTheme="majorHAnsi" w:hAnsiTheme="majorHAnsi"/>
              </w:rPr>
              <w:t>The Commission estimates that an EU contribution of between EUR 4.00 and 5.00 million would allow these outcomes to be addressed appropriately. Nonetheless, this does not preclude submission and selection of a proposal requesting different amounts.</w:t>
            </w:r>
          </w:p>
        </w:tc>
      </w:tr>
      <w:tr w:rsidR="00CB0D23" w:rsidRPr="00CB0D23" w14:paraId="47A8ECE4" w14:textId="77777777" w:rsidTr="00195612">
        <w:tc>
          <w:tcPr>
            <w:tcW w:w="0" w:type="auto"/>
          </w:tcPr>
          <w:p w14:paraId="5485B288"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Indicative budget</w:t>
            </w:r>
          </w:p>
        </w:tc>
        <w:tc>
          <w:tcPr>
            <w:tcW w:w="0" w:type="auto"/>
          </w:tcPr>
          <w:p w14:paraId="281EFBA7" w14:textId="77777777" w:rsidR="00CB0D23" w:rsidRPr="00CB0D23" w:rsidRDefault="00CB0D23" w:rsidP="00195612">
            <w:pPr>
              <w:pStyle w:val="CellTextValue"/>
              <w:rPr>
                <w:rFonts w:asciiTheme="majorHAnsi" w:hAnsiTheme="majorHAnsi"/>
              </w:rPr>
            </w:pPr>
            <w:r w:rsidRPr="00CB0D23">
              <w:rPr>
                <w:rFonts w:asciiTheme="majorHAnsi" w:hAnsiTheme="majorHAnsi"/>
              </w:rPr>
              <w:t>The total indicative budget for the topic is EUR 20.00 million.</w:t>
            </w:r>
          </w:p>
        </w:tc>
      </w:tr>
      <w:tr w:rsidR="00CB0D23" w:rsidRPr="00CB0D23" w14:paraId="3D055B76" w14:textId="77777777" w:rsidTr="00195612">
        <w:tc>
          <w:tcPr>
            <w:tcW w:w="0" w:type="auto"/>
          </w:tcPr>
          <w:p w14:paraId="3694BBA6"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Type of Action</w:t>
            </w:r>
          </w:p>
        </w:tc>
        <w:tc>
          <w:tcPr>
            <w:tcW w:w="0" w:type="auto"/>
          </w:tcPr>
          <w:p w14:paraId="02EF9A76"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Research and Innovation Actions</w:t>
            </w:r>
          </w:p>
        </w:tc>
      </w:tr>
      <w:tr w:rsidR="00CB0D23" w:rsidRPr="00CB0D23" w14:paraId="4382ACD6" w14:textId="77777777" w:rsidTr="00195612">
        <w:tc>
          <w:tcPr>
            <w:tcW w:w="0" w:type="auto"/>
          </w:tcPr>
          <w:p w14:paraId="1192995C"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Eligibility conditions</w:t>
            </w:r>
          </w:p>
        </w:tc>
        <w:tc>
          <w:tcPr>
            <w:tcW w:w="0" w:type="auto"/>
          </w:tcPr>
          <w:p w14:paraId="40122095"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The conditions are described in General Annex B. The following exceptions apply:</w:t>
            </w:r>
          </w:p>
          <w:p w14:paraId="1278DCE2"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If projects use satellite-based earth observation, positioning, navigation and/or related timing data and services, beneficiaries must make use of Copernicus and/or Galileo/EGNOS (other data and services may additionally be used).</w:t>
            </w:r>
          </w:p>
          <w:p w14:paraId="41BE7B08"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For Area A-Global, the consortium must include as beneficiary at least three independent legal entities established in three different low or middle-income countries</w:t>
            </w:r>
            <w:r w:rsidRPr="00CB0D23">
              <w:rPr>
                <w:rFonts w:asciiTheme="majorHAnsi" w:hAnsiTheme="majorHAnsi"/>
                <w:vertAlign w:val="superscript"/>
              </w:rPr>
              <w:footnoteReference w:id="11"/>
            </w:r>
            <w:r w:rsidRPr="00CB0D23">
              <w:rPr>
                <w:rFonts w:asciiTheme="majorHAnsi" w:hAnsiTheme="majorHAnsi"/>
                <w:color w:val="000000"/>
              </w:rPr>
              <w:t>.</w:t>
            </w:r>
          </w:p>
        </w:tc>
      </w:tr>
      <w:tr w:rsidR="00CB0D23" w:rsidRPr="00CB0D23" w14:paraId="6FF20446" w14:textId="77777777" w:rsidTr="00195612">
        <w:tc>
          <w:tcPr>
            <w:tcW w:w="0" w:type="auto"/>
          </w:tcPr>
          <w:p w14:paraId="072D59CC"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Procedure</w:t>
            </w:r>
          </w:p>
        </w:tc>
        <w:tc>
          <w:tcPr>
            <w:tcW w:w="0" w:type="auto"/>
          </w:tcPr>
          <w:p w14:paraId="71DAA898"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The procedure is described in General Annex F. The following exceptions apply:</w:t>
            </w:r>
          </w:p>
          <w:p w14:paraId="6C82C5FA"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To ensure a balanced portfolio covering different research areas (A and B), grants will be awarded to applications not only in order of ranking but also to fund at least two highest ranked applications in each area, provided that the corresponding applications attain all thresholds. Proposals should clearly indicate the research area they have selected.</w:t>
            </w:r>
          </w:p>
        </w:tc>
      </w:tr>
      <w:tr w:rsidR="00CB0D23" w:rsidRPr="00CB0D23" w14:paraId="1E59E0D0" w14:textId="77777777" w:rsidTr="00195612">
        <w:tc>
          <w:tcPr>
            <w:tcW w:w="0" w:type="auto"/>
          </w:tcPr>
          <w:p w14:paraId="329AE665"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lastRenderedPageBreak/>
              <w:t>Legal and financial set-up of the Grant Agreements</w:t>
            </w:r>
          </w:p>
        </w:tc>
        <w:tc>
          <w:tcPr>
            <w:tcW w:w="0" w:type="auto"/>
          </w:tcPr>
          <w:p w14:paraId="7B8578FE"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The rules are described in General Annex G. The following exceptions apply:</w:t>
            </w:r>
          </w:p>
          <w:p w14:paraId="4A7FB357"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Beneficiaries will be subject to the following additional obligations regarding open science practices: Open access to any new modules, models or tools developed from scratch or substantially improved with the use of EU funding under the action must be ensured through documentation, availability of model code and input data developed under the action.</w:t>
            </w:r>
          </w:p>
          <w:p w14:paraId="200FEF3E"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sidRPr="00CB0D23">
              <w:rPr>
                <w:rFonts w:asciiTheme="majorHAnsi" w:hAnsiTheme="majorHAnsi"/>
                <w:vertAlign w:val="superscript"/>
              </w:rPr>
              <w:footnoteReference w:id="12"/>
            </w:r>
            <w:r w:rsidRPr="00CB0D23">
              <w:rPr>
                <w:rFonts w:asciiTheme="majorHAnsi" w:hAnsiTheme="majorHAnsi"/>
                <w:color w:val="000000"/>
              </w:rPr>
              <w:t>.</w:t>
            </w:r>
          </w:p>
        </w:tc>
      </w:tr>
    </w:tbl>
    <w:p w14:paraId="79124362" w14:textId="77777777" w:rsidR="00CB0D23" w:rsidRPr="00CB0D23" w:rsidRDefault="00CB0D23" w:rsidP="00CB0D23">
      <w:pPr>
        <w:spacing w:after="0" w:line="150" w:lineRule="auto"/>
        <w:rPr>
          <w:rFonts w:asciiTheme="majorHAnsi" w:hAnsiTheme="majorHAnsi"/>
          <w:szCs w:val="24"/>
        </w:rPr>
      </w:pPr>
    </w:p>
    <w:p w14:paraId="4CAFECCE" w14:textId="77777777" w:rsidR="00CB0D23" w:rsidRPr="00CB0D23" w:rsidRDefault="00CB0D23" w:rsidP="00CB0D23">
      <w:pPr>
        <w:rPr>
          <w:rFonts w:asciiTheme="majorHAnsi" w:hAnsiTheme="majorHAnsi"/>
          <w:szCs w:val="24"/>
        </w:rPr>
      </w:pPr>
      <w:r w:rsidRPr="00CB0D23">
        <w:rPr>
          <w:rFonts w:asciiTheme="majorHAnsi" w:hAnsiTheme="majorHAnsi"/>
          <w:szCs w:val="24"/>
          <w:u w:val="single"/>
        </w:rPr>
        <w:t>Expected Outcome</w:t>
      </w:r>
      <w:r w:rsidRPr="00CB0D23">
        <w:rPr>
          <w:rFonts w:asciiTheme="majorHAnsi" w:hAnsiTheme="majorHAnsi"/>
          <w:szCs w:val="24"/>
        </w:rPr>
        <w:t xml:space="preserve">: </w:t>
      </w:r>
      <w:r w:rsidRPr="00CB0D23">
        <w:rPr>
          <w:rFonts w:asciiTheme="majorHAnsi" w:hAnsiTheme="majorHAnsi"/>
          <w:color w:val="000000"/>
          <w:szCs w:val="24"/>
        </w:rPr>
        <w:t xml:space="preserve">Project results are expected to contribute to </w:t>
      </w:r>
      <w:r w:rsidRPr="00CB0D23">
        <w:rPr>
          <w:rFonts w:asciiTheme="majorHAnsi" w:hAnsiTheme="majorHAnsi"/>
          <w:b/>
          <w:color w:val="000000"/>
          <w:szCs w:val="24"/>
        </w:rPr>
        <w:t>some of the</w:t>
      </w:r>
      <w:r w:rsidRPr="00CB0D23">
        <w:rPr>
          <w:rFonts w:asciiTheme="majorHAnsi" w:hAnsiTheme="majorHAnsi"/>
          <w:color w:val="000000"/>
          <w:szCs w:val="24"/>
        </w:rPr>
        <w:t xml:space="preserve"> following expected outcomes:</w:t>
      </w:r>
    </w:p>
    <w:p w14:paraId="141C6B63" w14:textId="77777777" w:rsidR="00CB0D23" w:rsidRPr="00CB0D23" w:rsidRDefault="00CB0D23" w:rsidP="00CB0D23">
      <w:pPr>
        <w:pStyle w:val="ListParagraph"/>
        <w:numPr>
          <w:ilvl w:val="0"/>
          <w:numId w:val="4"/>
        </w:numPr>
        <w:contextualSpacing w:val="0"/>
        <w:rPr>
          <w:rFonts w:asciiTheme="majorHAnsi" w:hAnsiTheme="majorHAnsi"/>
          <w:szCs w:val="24"/>
        </w:rPr>
      </w:pPr>
      <w:r w:rsidRPr="00CB0D23">
        <w:rPr>
          <w:rFonts w:asciiTheme="majorHAnsi" w:hAnsiTheme="majorHAnsi"/>
          <w:color w:val="000000"/>
          <w:szCs w:val="24"/>
        </w:rPr>
        <w:t>A more robust understanding of the costs of climate inaction and their distribution, accounting for climate change impacts, foregone co-benefits such as health and biodiversity related, and increased adaptation needs, stimulating higher levels of climate ambition.</w:t>
      </w:r>
    </w:p>
    <w:p w14:paraId="2150728F" w14:textId="77777777" w:rsidR="00CB0D23" w:rsidRPr="00CB0D23" w:rsidRDefault="00CB0D23" w:rsidP="00CB0D23">
      <w:pPr>
        <w:pStyle w:val="ListParagraph"/>
        <w:numPr>
          <w:ilvl w:val="0"/>
          <w:numId w:val="4"/>
        </w:numPr>
        <w:contextualSpacing w:val="0"/>
        <w:rPr>
          <w:rFonts w:asciiTheme="majorHAnsi" w:hAnsiTheme="majorHAnsi"/>
          <w:szCs w:val="24"/>
        </w:rPr>
      </w:pPr>
      <w:r w:rsidRPr="00CB0D23">
        <w:rPr>
          <w:rFonts w:asciiTheme="majorHAnsi" w:hAnsiTheme="majorHAnsi"/>
          <w:color w:val="000000"/>
          <w:szCs w:val="24"/>
        </w:rPr>
        <w:t>Greater consistency in how socio-economic and physical science disciplines address climate change with enhanced inter- and transdisciplinary collaboration leading to improved, more realistic and more context-specific, regionally differentiated assessments of socio-economic impacts of climate change, and tailored tools to better inform strategic decisions on climate action, security and resilience by public and private actors.</w:t>
      </w:r>
    </w:p>
    <w:p w14:paraId="26479744" w14:textId="77777777" w:rsidR="00CB0D23" w:rsidRPr="00CB0D23" w:rsidRDefault="00CB0D23" w:rsidP="00CB0D23">
      <w:pPr>
        <w:pStyle w:val="ListParagraph"/>
        <w:numPr>
          <w:ilvl w:val="0"/>
          <w:numId w:val="4"/>
        </w:numPr>
        <w:contextualSpacing w:val="0"/>
        <w:rPr>
          <w:rFonts w:asciiTheme="majorHAnsi" w:hAnsiTheme="majorHAnsi"/>
          <w:szCs w:val="24"/>
        </w:rPr>
      </w:pPr>
      <w:r w:rsidRPr="00CB0D23">
        <w:rPr>
          <w:rFonts w:asciiTheme="majorHAnsi" w:hAnsiTheme="majorHAnsi"/>
          <w:color w:val="000000"/>
          <w:szCs w:val="24"/>
        </w:rPr>
        <w:t>Knowledge on the interactions between climate change impacts, climate action and global and regional economic performance is advanced. More clarity is gained on the implications of climate change and climate policies on European competitiveness, economic security and strategic autonomy, with enhanced assessment of opportunities, risks, benefits and costs for the EU economy and citizens.</w:t>
      </w:r>
    </w:p>
    <w:p w14:paraId="2382D1D7" w14:textId="77777777" w:rsidR="00CB0D23" w:rsidRPr="00CB0D23" w:rsidRDefault="00CB0D23" w:rsidP="00CB0D23">
      <w:pPr>
        <w:pStyle w:val="ListParagraph"/>
        <w:numPr>
          <w:ilvl w:val="0"/>
          <w:numId w:val="4"/>
        </w:numPr>
        <w:contextualSpacing w:val="0"/>
        <w:rPr>
          <w:rFonts w:asciiTheme="majorHAnsi" w:hAnsiTheme="majorHAnsi"/>
          <w:szCs w:val="24"/>
        </w:rPr>
      </w:pPr>
      <w:r w:rsidRPr="00CB0D23">
        <w:rPr>
          <w:rFonts w:asciiTheme="majorHAnsi" w:hAnsiTheme="majorHAnsi"/>
          <w:color w:val="000000"/>
          <w:szCs w:val="24"/>
        </w:rPr>
        <w:t xml:space="preserve">The Paris Agreement, European Climate Risk Assessments (EUCRA), the European Climate Adaptation Plan, the Preparedness Union Strategy, the Clean Industrial Deal, IPCC, IPBES </w:t>
      </w:r>
      <w:r w:rsidRPr="00CB0D23">
        <w:rPr>
          <w:rFonts w:asciiTheme="majorHAnsi" w:hAnsiTheme="majorHAnsi"/>
          <w:color w:val="000000"/>
          <w:szCs w:val="24"/>
        </w:rPr>
        <w:lastRenderedPageBreak/>
        <w:t xml:space="preserve">and other initiatives are informed and supported with best available evidence and policy recommendations.  </w:t>
      </w:r>
    </w:p>
    <w:p w14:paraId="6CB8D92E" w14:textId="77777777" w:rsidR="00CB0D23" w:rsidRPr="00CB0D23" w:rsidRDefault="00CB0D23" w:rsidP="00CB0D23">
      <w:pPr>
        <w:rPr>
          <w:rFonts w:asciiTheme="majorHAnsi" w:hAnsiTheme="majorHAnsi"/>
          <w:szCs w:val="24"/>
        </w:rPr>
      </w:pPr>
      <w:r w:rsidRPr="00CB0D23">
        <w:rPr>
          <w:rFonts w:asciiTheme="majorHAnsi" w:hAnsiTheme="majorHAnsi"/>
          <w:szCs w:val="24"/>
          <w:u w:val="single"/>
        </w:rPr>
        <w:t>Scope</w:t>
      </w:r>
      <w:r w:rsidRPr="00CB0D23">
        <w:rPr>
          <w:rFonts w:asciiTheme="majorHAnsi" w:hAnsiTheme="majorHAnsi"/>
          <w:szCs w:val="24"/>
        </w:rPr>
        <w:t xml:space="preserve">: </w:t>
      </w:r>
      <w:r w:rsidRPr="00CB0D23">
        <w:rPr>
          <w:rFonts w:asciiTheme="majorHAnsi" w:hAnsiTheme="majorHAnsi"/>
          <w:color w:val="000000"/>
          <w:szCs w:val="24"/>
        </w:rPr>
        <w:t>As emphasized by the IPCC, it is urgent to better understand the benefits and opportunities associated with deep, rapid and sustained mitigation and accelerated adaptation action to inform strategic decisions. Comprehensive assessments of the socio-economic impacts of climate change are essential for this, however, current approaches face significant challenges with a wide uncertainty in global damage estimates, fragmentation, lack of comparability across methodologies, and reliance on extrapolation from historical data, increasingly unrealistic in the context of current unprecedented changes in the climate system.</w:t>
      </w:r>
    </w:p>
    <w:p w14:paraId="0A709CC5"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Actions should develop and enhance models, methods, and tools to improve the understanding of future socio-economic costs of climate inaction (for the purpose of this topic defined as insufficient, or delayed action), advancing novel approaches and frameworks to address the limitations in existing methodologies, integrating latest scientific evidence, diverse data sources and applicable to various conditions and contexts. In this context, actions are encouraged to leverage emerging digital capabilities, including, if appropriate, those developed under initiatives like Destination Earth. Research should account for the full spectrum of climate impacts, such as those from extreme and low-probability high-impact events and the consequences of trespassing Earth system tipping points, to ensure more comprehensive and accurate assessments. Cascading and compound effects as well as non-market impacts (e.g. health, biodiversity and ecosystems, migration) should be considered. Actions should also contribute to rethinking discount rates and damage functions to better reflect the long-term uncertainty of climate impacts and their implications.</w:t>
      </w:r>
    </w:p>
    <w:p w14:paraId="1D3AEA24"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Actions should assess foregone co-benefits and missed opportunities of climate inaction, and their distribution, ranging from health-related gains to economic benefits like business and industrial opportunities, job creation, energy and economic security, innovation and lower costs, as well as environmental and social improvements such as from biodiversity conservation, and reduced inequalities. They should assess increased adaptation needs and costs associated with inadequate mitigation, accelerated climate impacts, lost resilience, crossing of adaptation limits as well as the impact on public budgets</w:t>
      </w:r>
      <w:r w:rsidRPr="00CB0D23">
        <w:rPr>
          <w:rFonts w:asciiTheme="majorHAnsi" w:hAnsiTheme="majorHAnsi"/>
          <w:szCs w:val="24"/>
          <w:vertAlign w:val="superscript"/>
        </w:rPr>
        <w:footnoteReference w:id="13"/>
      </w:r>
      <w:r w:rsidRPr="00CB0D23">
        <w:rPr>
          <w:rFonts w:asciiTheme="majorHAnsi" w:hAnsiTheme="majorHAnsi"/>
          <w:color w:val="000000"/>
          <w:szCs w:val="24"/>
        </w:rPr>
        <w:t>. To provide the full picture, the cost of climate inaction should be compared with the cost of ambitious mitigation and adaptation.</w:t>
      </w:r>
    </w:p>
    <w:p w14:paraId="78351FDF"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Actions should emphasise treatment of uncertainty, ethics, inequality and justice in the economic analysis of climate change. They should explore approaches more compatible with planetary boundaries, going beyond traditional welfare and cost-effectiveness models.</w:t>
      </w:r>
    </w:p>
    <w:p w14:paraId="2914A214"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lastRenderedPageBreak/>
        <w:t>This topic requires interdisciplinary collaboration between physical scientists, economists and other relevant SSH disciplines. Actions should include a process of co-design with stakeholders (e.g., representatives of governments, public administrations, such as civil protection competent authorities, or the private sector) to support uptake of the results.</w:t>
      </w:r>
    </w:p>
    <w:p w14:paraId="179A9AAE"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Actions should focus on one of the following research areas:</w:t>
      </w:r>
    </w:p>
    <w:p w14:paraId="212CCEA5"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u w:val="single"/>
        </w:rPr>
        <w:t>Area A: Global</w:t>
      </w:r>
    </w:p>
    <w:p w14:paraId="4F0043B7"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Analysis should be global in scale, while also providing regionally resolved insights to enable comparisons across world regions, distinguishing between developing and developed, and duly reflecting diverse circumstances and contexts. International cooperation is generally encouraged and specifically required with low and middle-income countries – particularly major GHG emitters</w:t>
      </w:r>
      <w:r w:rsidRPr="00CB0D23">
        <w:rPr>
          <w:rFonts w:asciiTheme="majorHAnsi" w:hAnsiTheme="majorHAnsi"/>
          <w:szCs w:val="24"/>
          <w:vertAlign w:val="superscript"/>
        </w:rPr>
        <w:footnoteReference w:id="14"/>
      </w:r>
      <w:r w:rsidRPr="00CB0D23">
        <w:rPr>
          <w:rFonts w:asciiTheme="majorHAnsi" w:hAnsiTheme="majorHAnsi"/>
          <w:color w:val="000000"/>
          <w:szCs w:val="24"/>
        </w:rPr>
        <w:t xml:space="preserve"> such as China (under the EU-China Climate Change and Biodiversity (CCB) flagship initiative), India, Brazil and Indonesia - to produce robust, representative and widely accepted estimates, and to support scientific capacity building.</w:t>
      </w:r>
    </w:p>
    <w:p w14:paraId="5832B106"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u w:val="single"/>
        </w:rPr>
        <w:t>Area B: The EU</w:t>
      </w:r>
    </w:p>
    <w:p w14:paraId="2BBE2273"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Actions should focus on the EU. Particular attention should be given to consequences for EU industrial performance, security of supply and strategic autonomy.</w:t>
      </w:r>
    </w:p>
    <w:p w14:paraId="383C6580"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All projects funded under this topic are strongly encouraged to collaborate and envisage clustering activities together and with other relevant projects in and outside of Horizon Europe.</w:t>
      </w:r>
    </w:p>
    <w:p w14:paraId="662D94E2" w14:textId="05EBD79C" w:rsidR="00CB0D23" w:rsidRDefault="00CB0D23">
      <w:pPr>
        <w:spacing w:after="160" w:line="278" w:lineRule="auto"/>
        <w:jc w:val="left"/>
        <w:rPr>
          <w:rFonts w:asciiTheme="majorHAnsi" w:eastAsiaTheme="majorEastAsia" w:hAnsiTheme="majorHAnsi" w:cs="Times New Roman"/>
          <w:b/>
          <w:bCs/>
          <w:color w:val="0070C0"/>
          <w:szCs w:val="24"/>
        </w:rPr>
      </w:pPr>
      <w:bookmarkStart w:id="3" w:name="_Toc204165323"/>
      <w:r>
        <w:rPr>
          <w:rFonts w:asciiTheme="majorHAnsi" w:hAnsiTheme="majorHAnsi"/>
          <w:szCs w:val="24"/>
        </w:rPr>
        <w:br w:type="page"/>
      </w:r>
    </w:p>
    <w:p w14:paraId="52FFAC1F" w14:textId="7081236E" w:rsidR="00CB0D23" w:rsidRDefault="00CB0D23" w:rsidP="00CB0D23">
      <w:pPr>
        <w:pStyle w:val="HeadingThree"/>
        <w:rPr>
          <w:rFonts w:asciiTheme="majorHAnsi" w:hAnsiTheme="majorHAnsi"/>
          <w:sz w:val="24"/>
          <w:szCs w:val="24"/>
        </w:rPr>
      </w:pPr>
      <w:r w:rsidRPr="00CB0D23">
        <w:rPr>
          <w:rFonts w:asciiTheme="majorHAnsi" w:hAnsiTheme="majorHAnsi"/>
          <w:sz w:val="24"/>
          <w:szCs w:val="24"/>
        </w:rPr>
        <w:lastRenderedPageBreak/>
        <w:t>HORIZON-CL5-2026-0</w:t>
      </w:r>
      <w:r w:rsidR="001A7117">
        <w:rPr>
          <w:rFonts w:asciiTheme="majorHAnsi" w:hAnsiTheme="majorHAnsi"/>
          <w:sz w:val="24"/>
          <w:szCs w:val="24"/>
        </w:rPr>
        <w:t>7</w:t>
      </w:r>
      <w:r w:rsidRPr="00CB0D23">
        <w:rPr>
          <w:rFonts w:asciiTheme="majorHAnsi" w:hAnsiTheme="majorHAnsi"/>
          <w:sz w:val="24"/>
          <w:szCs w:val="24"/>
        </w:rPr>
        <w:t>-D1-06: Closing knowledge gaps on Earth system science in support of global and regional assessments and climate policy</w:t>
      </w:r>
      <w:bookmarkEnd w:id="3"/>
    </w:p>
    <w:p w14:paraId="02B0F0EE" w14:textId="77777777" w:rsidR="001A7117" w:rsidRPr="001A7117" w:rsidRDefault="001A7117" w:rsidP="001A7117">
      <w:pPr>
        <w:rPr>
          <w:rFonts w:asciiTheme="majorHAnsi" w:hAnsiTheme="majorHAnsi"/>
        </w:rPr>
      </w:pPr>
      <w:r w:rsidRPr="001A7117">
        <w:rPr>
          <w:rFonts w:asciiTheme="majorHAnsi" w:hAnsiTheme="majorHAnsi"/>
        </w:rPr>
        <w:t>Call Opens: Dec 18 2025</w:t>
      </w:r>
    </w:p>
    <w:p w14:paraId="1A1715ED" w14:textId="7D4ABF0C" w:rsidR="001A7117" w:rsidRPr="001A7117" w:rsidRDefault="001A7117" w:rsidP="001A7117">
      <w:pPr>
        <w:rPr>
          <w:rFonts w:asciiTheme="majorHAnsi" w:hAnsiTheme="majorHAnsi"/>
        </w:rPr>
      </w:pPr>
      <w:r w:rsidRPr="001A7117">
        <w:rPr>
          <w:rFonts w:asciiTheme="majorHAnsi" w:hAnsiTheme="majorHAnsi"/>
        </w:rPr>
        <w:t xml:space="preserve">Deadline: </w:t>
      </w:r>
      <w:r>
        <w:rPr>
          <w:rFonts w:asciiTheme="majorHAnsi" w:hAnsiTheme="majorHAnsi"/>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34"/>
        <w:gridCol w:w="7226"/>
      </w:tblGrid>
      <w:tr w:rsidR="00CB0D23" w:rsidRPr="00CB0D23" w14:paraId="49CC2872" w14:textId="77777777" w:rsidTr="00195612">
        <w:tc>
          <w:tcPr>
            <w:tcW w:w="0" w:type="auto"/>
            <w:gridSpan w:val="2"/>
          </w:tcPr>
          <w:p w14:paraId="357AF9C1" w14:textId="168D6262" w:rsidR="00CB0D23" w:rsidRPr="00CB0D23" w:rsidRDefault="00CB0D23" w:rsidP="00195612">
            <w:pPr>
              <w:pStyle w:val="CellTextValue"/>
              <w:rPr>
                <w:rFonts w:asciiTheme="majorHAnsi" w:hAnsiTheme="majorHAnsi"/>
              </w:rPr>
            </w:pPr>
            <w:r w:rsidRPr="00CB0D23">
              <w:rPr>
                <w:rFonts w:asciiTheme="majorHAnsi" w:hAnsiTheme="majorHAnsi"/>
                <w:b/>
              </w:rPr>
              <w:t>Call: Cluster 5 Call 0</w:t>
            </w:r>
            <w:r w:rsidR="001A7117">
              <w:rPr>
                <w:rFonts w:asciiTheme="majorHAnsi" w:hAnsiTheme="majorHAnsi"/>
                <w:b/>
              </w:rPr>
              <w:t>7</w:t>
            </w:r>
            <w:r w:rsidRPr="00CB0D23">
              <w:rPr>
                <w:rFonts w:asciiTheme="majorHAnsi" w:hAnsiTheme="majorHAnsi"/>
                <w:b/>
              </w:rPr>
              <w:t>-2026 (WP2026-2027)</w:t>
            </w:r>
          </w:p>
        </w:tc>
      </w:tr>
      <w:tr w:rsidR="00CB0D23" w:rsidRPr="00CB0D23" w14:paraId="68D0CF75" w14:textId="77777777" w:rsidTr="00195612">
        <w:tc>
          <w:tcPr>
            <w:tcW w:w="0" w:type="auto"/>
            <w:gridSpan w:val="2"/>
          </w:tcPr>
          <w:p w14:paraId="38387442" w14:textId="77777777" w:rsidR="00CB0D23" w:rsidRPr="00CB0D23" w:rsidRDefault="00CB0D23" w:rsidP="00195612">
            <w:pPr>
              <w:pStyle w:val="CellTextValue"/>
              <w:rPr>
                <w:rFonts w:asciiTheme="majorHAnsi" w:hAnsiTheme="majorHAnsi"/>
              </w:rPr>
            </w:pPr>
            <w:r w:rsidRPr="00CB0D23">
              <w:rPr>
                <w:rFonts w:asciiTheme="majorHAnsi" w:hAnsiTheme="majorHAnsi"/>
                <w:b/>
              </w:rPr>
              <w:t>Specific conditions</w:t>
            </w:r>
          </w:p>
        </w:tc>
      </w:tr>
      <w:tr w:rsidR="00CB0D23" w:rsidRPr="00CB0D23" w14:paraId="55E72B01" w14:textId="77777777" w:rsidTr="00195612">
        <w:tc>
          <w:tcPr>
            <w:tcW w:w="0" w:type="auto"/>
          </w:tcPr>
          <w:p w14:paraId="2DB3A049"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Expected EU contribution per project</w:t>
            </w:r>
          </w:p>
        </w:tc>
        <w:tc>
          <w:tcPr>
            <w:tcW w:w="0" w:type="auto"/>
          </w:tcPr>
          <w:p w14:paraId="5F18CFC2" w14:textId="77777777" w:rsidR="00CB0D23" w:rsidRPr="00CB0D23" w:rsidRDefault="00CB0D23" w:rsidP="00195612">
            <w:pPr>
              <w:pStyle w:val="CellTextValue"/>
              <w:rPr>
                <w:rFonts w:asciiTheme="majorHAnsi" w:hAnsiTheme="majorHAnsi"/>
              </w:rPr>
            </w:pPr>
            <w:r w:rsidRPr="00CB0D23">
              <w:rPr>
                <w:rFonts w:asciiTheme="majorHAnsi" w:hAnsiTheme="majorHAnsi"/>
              </w:rPr>
              <w:t>The Commission estimates that an EU contribution of between EUR 5.00 and 9.00 million would allow these outcomes to be addressed appropriately. Nonetheless, this does not preclude submission and selection of a proposal requesting different amounts.</w:t>
            </w:r>
          </w:p>
        </w:tc>
      </w:tr>
      <w:tr w:rsidR="00CB0D23" w:rsidRPr="00CB0D23" w14:paraId="326BFFD1" w14:textId="77777777" w:rsidTr="00195612">
        <w:tc>
          <w:tcPr>
            <w:tcW w:w="0" w:type="auto"/>
          </w:tcPr>
          <w:p w14:paraId="2069A3ED"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Indicative budget</w:t>
            </w:r>
          </w:p>
        </w:tc>
        <w:tc>
          <w:tcPr>
            <w:tcW w:w="0" w:type="auto"/>
          </w:tcPr>
          <w:p w14:paraId="0FC2776B" w14:textId="77777777" w:rsidR="00CB0D23" w:rsidRPr="00CB0D23" w:rsidRDefault="00CB0D23" w:rsidP="00195612">
            <w:pPr>
              <w:pStyle w:val="CellTextValue"/>
              <w:rPr>
                <w:rFonts w:asciiTheme="majorHAnsi" w:hAnsiTheme="majorHAnsi"/>
              </w:rPr>
            </w:pPr>
            <w:r w:rsidRPr="00CB0D23">
              <w:rPr>
                <w:rFonts w:asciiTheme="majorHAnsi" w:hAnsiTheme="majorHAnsi"/>
              </w:rPr>
              <w:t>The total indicative budget for the topic is EUR 45.00 million.</w:t>
            </w:r>
          </w:p>
        </w:tc>
      </w:tr>
      <w:tr w:rsidR="00CB0D23" w:rsidRPr="00CB0D23" w14:paraId="2A90FF67" w14:textId="77777777" w:rsidTr="00195612">
        <w:tc>
          <w:tcPr>
            <w:tcW w:w="0" w:type="auto"/>
          </w:tcPr>
          <w:p w14:paraId="7441B463"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Type of Action</w:t>
            </w:r>
          </w:p>
        </w:tc>
        <w:tc>
          <w:tcPr>
            <w:tcW w:w="0" w:type="auto"/>
          </w:tcPr>
          <w:p w14:paraId="17B23467"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Research and Innovation Actions</w:t>
            </w:r>
          </w:p>
        </w:tc>
      </w:tr>
      <w:tr w:rsidR="00CB0D23" w:rsidRPr="00CB0D23" w14:paraId="6ACCF1C1" w14:textId="77777777" w:rsidTr="00195612">
        <w:tc>
          <w:tcPr>
            <w:tcW w:w="0" w:type="auto"/>
          </w:tcPr>
          <w:p w14:paraId="17A2DDCC"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Admissibility conditions</w:t>
            </w:r>
          </w:p>
        </w:tc>
        <w:tc>
          <w:tcPr>
            <w:tcW w:w="0" w:type="auto"/>
          </w:tcPr>
          <w:p w14:paraId="5E23AA9B"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The conditions are described in General Annex A. The following exceptions apply:</w:t>
            </w:r>
          </w:p>
          <w:p w14:paraId="1954F1CD"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tc>
      </w:tr>
      <w:tr w:rsidR="00CB0D23" w:rsidRPr="00CB0D23" w14:paraId="09F16272" w14:textId="77777777" w:rsidTr="00195612">
        <w:tc>
          <w:tcPr>
            <w:tcW w:w="0" w:type="auto"/>
          </w:tcPr>
          <w:p w14:paraId="5363605D"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Eligibility conditions</w:t>
            </w:r>
          </w:p>
        </w:tc>
        <w:tc>
          <w:tcPr>
            <w:tcW w:w="0" w:type="auto"/>
          </w:tcPr>
          <w:p w14:paraId="2674B551"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The conditions are described in General Annex B. The following exceptions apply:</w:t>
            </w:r>
          </w:p>
          <w:p w14:paraId="665C9C9F"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If projects use satellite-based earth observation, positioning, navigation and/or related timing data and services, beneficiaries must make use of Copernicus and/or Galileo/EGNOS (other data and services may additionally be used).</w:t>
            </w:r>
          </w:p>
        </w:tc>
      </w:tr>
      <w:tr w:rsidR="00CB0D23" w:rsidRPr="00CB0D23" w14:paraId="57CEB0F7" w14:textId="77777777" w:rsidTr="00195612">
        <w:tc>
          <w:tcPr>
            <w:tcW w:w="0" w:type="auto"/>
          </w:tcPr>
          <w:p w14:paraId="0C5A6B5C"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Procedure</w:t>
            </w:r>
          </w:p>
        </w:tc>
        <w:tc>
          <w:tcPr>
            <w:tcW w:w="0" w:type="auto"/>
          </w:tcPr>
          <w:p w14:paraId="03D567E4"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The procedure is described in General Annex F. The following exceptions apply:</w:t>
            </w:r>
          </w:p>
          <w:p w14:paraId="2CFF4389"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The first-stage proposals of this topic will be evaluated blindly.</w:t>
            </w:r>
          </w:p>
        </w:tc>
      </w:tr>
      <w:tr w:rsidR="00CB0D23" w:rsidRPr="00CB0D23" w14:paraId="59C9FA6B" w14:textId="77777777" w:rsidTr="00195612">
        <w:tc>
          <w:tcPr>
            <w:tcW w:w="0" w:type="auto"/>
          </w:tcPr>
          <w:p w14:paraId="2F67D789" w14:textId="77777777" w:rsidR="00CB0D23" w:rsidRPr="00CB0D23" w:rsidRDefault="00CB0D23" w:rsidP="00195612">
            <w:pPr>
              <w:pStyle w:val="CellTextValue"/>
              <w:jc w:val="left"/>
              <w:rPr>
                <w:rFonts w:asciiTheme="majorHAnsi" w:hAnsiTheme="majorHAnsi"/>
              </w:rPr>
            </w:pPr>
            <w:r w:rsidRPr="00CB0D23">
              <w:rPr>
                <w:rFonts w:asciiTheme="majorHAnsi" w:hAnsiTheme="majorHAnsi"/>
                <w:i/>
              </w:rPr>
              <w:t>Legal and financial set-up of the Grant Agreements</w:t>
            </w:r>
          </w:p>
        </w:tc>
        <w:tc>
          <w:tcPr>
            <w:tcW w:w="0" w:type="auto"/>
          </w:tcPr>
          <w:p w14:paraId="3DC47A83"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t>The rules are described in General Annex G. The following exceptions apply:</w:t>
            </w:r>
          </w:p>
          <w:p w14:paraId="359CC1F7" w14:textId="77777777" w:rsidR="00CB0D23" w:rsidRPr="00CB0D23" w:rsidRDefault="00CB0D23" w:rsidP="00195612">
            <w:pPr>
              <w:pStyle w:val="CellTextValue"/>
              <w:rPr>
                <w:rFonts w:asciiTheme="majorHAnsi" w:hAnsiTheme="majorHAnsi"/>
              </w:rPr>
            </w:pPr>
            <w:r w:rsidRPr="00CB0D23">
              <w:rPr>
                <w:rFonts w:asciiTheme="majorHAnsi" w:hAnsiTheme="majorHAnsi"/>
                <w:color w:val="000000"/>
              </w:rPr>
              <w:lastRenderedPageBreak/>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sidRPr="00CB0D23">
              <w:rPr>
                <w:rFonts w:asciiTheme="majorHAnsi" w:hAnsiTheme="majorHAnsi"/>
                <w:vertAlign w:val="superscript"/>
              </w:rPr>
              <w:footnoteReference w:id="15"/>
            </w:r>
            <w:r w:rsidRPr="00CB0D23">
              <w:rPr>
                <w:rFonts w:asciiTheme="majorHAnsi" w:hAnsiTheme="majorHAnsi"/>
                <w:color w:val="000000"/>
              </w:rPr>
              <w:t>.</w:t>
            </w:r>
          </w:p>
        </w:tc>
      </w:tr>
    </w:tbl>
    <w:p w14:paraId="3498C4F8" w14:textId="77777777" w:rsidR="00CB0D23" w:rsidRPr="00CB0D23" w:rsidRDefault="00CB0D23" w:rsidP="00CB0D23">
      <w:pPr>
        <w:spacing w:after="0" w:line="150" w:lineRule="auto"/>
        <w:rPr>
          <w:rFonts w:asciiTheme="majorHAnsi" w:hAnsiTheme="majorHAnsi"/>
          <w:szCs w:val="24"/>
        </w:rPr>
      </w:pPr>
    </w:p>
    <w:p w14:paraId="63C93FB9" w14:textId="77777777" w:rsidR="00CB0D23" w:rsidRPr="00CB0D23" w:rsidRDefault="00CB0D23" w:rsidP="00CB0D23">
      <w:pPr>
        <w:rPr>
          <w:rFonts w:asciiTheme="majorHAnsi" w:hAnsiTheme="majorHAnsi"/>
          <w:szCs w:val="24"/>
        </w:rPr>
      </w:pPr>
      <w:r w:rsidRPr="00CB0D23">
        <w:rPr>
          <w:rFonts w:asciiTheme="majorHAnsi" w:hAnsiTheme="majorHAnsi"/>
          <w:szCs w:val="24"/>
          <w:u w:val="single"/>
        </w:rPr>
        <w:t>Expected Outcome</w:t>
      </w:r>
      <w:r w:rsidRPr="00CB0D23">
        <w:rPr>
          <w:rFonts w:asciiTheme="majorHAnsi" w:hAnsiTheme="majorHAnsi"/>
          <w:szCs w:val="24"/>
        </w:rPr>
        <w:t xml:space="preserve">: </w:t>
      </w:r>
      <w:r w:rsidRPr="00CB0D23">
        <w:rPr>
          <w:rFonts w:asciiTheme="majorHAnsi" w:hAnsiTheme="majorHAnsi"/>
          <w:color w:val="000000"/>
          <w:szCs w:val="24"/>
        </w:rPr>
        <w:t>Project results are expected to contribute to some of the following expected outcomes:</w:t>
      </w:r>
    </w:p>
    <w:p w14:paraId="3A9E900C" w14:textId="77777777" w:rsidR="00CB0D23" w:rsidRPr="00CB0D23" w:rsidRDefault="00CB0D23" w:rsidP="00CB0D23">
      <w:pPr>
        <w:pStyle w:val="ListParagraph"/>
        <w:numPr>
          <w:ilvl w:val="0"/>
          <w:numId w:val="6"/>
        </w:numPr>
        <w:contextualSpacing w:val="0"/>
        <w:rPr>
          <w:rFonts w:asciiTheme="majorHAnsi" w:hAnsiTheme="majorHAnsi"/>
          <w:szCs w:val="24"/>
        </w:rPr>
      </w:pPr>
      <w:r w:rsidRPr="00CB0D23">
        <w:rPr>
          <w:rFonts w:asciiTheme="majorHAnsi" w:hAnsiTheme="majorHAnsi"/>
          <w:color w:val="000000"/>
          <w:szCs w:val="24"/>
        </w:rPr>
        <w:t>Improved quality and reduced uncertainty of global and regional climate change projections;</w:t>
      </w:r>
    </w:p>
    <w:p w14:paraId="7008EF27" w14:textId="77777777" w:rsidR="00CB0D23" w:rsidRPr="00CB0D23" w:rsidRDefault="00CB0D23" w:rsidP="00CB0D23">
      <w:pPr>
        <w:pStyle w:val="ListParagraph"/>
        <w:numPr>
          <w:ilvl w:val="0"/>
          <w:numId w:val="6"/>
        </w:numPr>
        <w:contextualSpacing w:val="0"/>
        <w:rPr>
          <w:rFonts w:asciiTheme="majorHAnsi" w:hAnsiTheme="majorHAnsi"/>
          <w:szCs w:val="24"/>
        </w:rPr>
      </w:pPr>
      <w:r w:rsidRPr="00CB0D23">
        <w:rPr>
          <w:rFonts w:asciiTheme="majorHAnsi" w:hAnsiTheme="majorHAnsi"/>
          <w:color w:val="000000"/>
          <w:szCs w:val="24"/>
        </w:rPr>
        <w:t>Critical knowledge and data gaps in Earth system science as identified in the IPCC Sixth Assessment Report (AR6) and other authoritative sources, are addressed, ensuring that future climate assessments are grounded in the most comprehensive and up-to-date scientific evidence;</w:t>
      </w:r>
    </w:p>
    <w:p w14:paraId="21CBA05C" w14:textId="77777777" w:rsidR="00CB0D23" w:rsidRPr="00CB0D23" w:rsidRDefault="00CB0D23" w:rsidP="00CB0D23">
      <w:pPr>
        <w:pStyle w:val="ListParagraph"/>
        <w:numPr>
          <w:ilvl w:val="0"/>
          <w:numId w:val="6"/>
        </w:numPr>
        <w:contextualSpacing w:val="0"/>
        <w:rPr>
          <w:rFonts w:asciiTheme="majorHAnsi" w:hAnsiTheme="majorHAnsi"/>
          <w:szCs w:val="24"/>
        </w:rPr>
      </w:pPr>
      <w:r w:rsidRPr="00CB0D23">
        <w:rPr>
          <w:rFonts w:asciiTheme="majorHAnsi" w:hAnsiTheme="majorHAnsi"/>
          <w:color w:val="000000"/>
          <w:szCs w:val="24"/>
        </w:rPr>
        <w:t xml:space="preserve">New climate science evidence is generated that is relevant for policy needs and for informing climate action. </w:t>
      </w:r>
    </w:p>
    <w:p w14:paraId="1BD3A032" w14:textId="77777777" w:rsidR="00CB0D23" w:rsidRPr="00CB0D23" w:rsidRDefault="00CB0D23" w:rsidP="00CB0D23">
      <w:pPr>
        <w:rPr>
          <w:rFonts w:asciiTheme="majorHAnsi" w:hAnsiTheme="majorHAnsi"/>
          <w:szCs w:val="24"/>
        </w:rPr>
      </w:pPr>
      <w:r w:rsidRPr="00CB0D23">
        <w:rPr>
          <w:rFonts w:asciiTheme="majorHAnsi" w:hAnsiTheme="majorHAnsi"/>
          <w:szCs w:val="24"/>
          <w:u w:val="single"/>
        </w:rPr>
        <w:t>Scope</w:t>
      </w:r>
      <w:r w:rsidRPr="00CB0D23">
        <w:rPr>
          <w:rFonts w:asciiTheme="majorHAnsi" w:hAnsiTheme="majorHAnsi"/>
          <w:szCs w:val="24"/>
        </w:rPr>
        <w:t xml:space="preserve">: </w:t>
      </w:r>
      <w:r w:rsidRPr="00CB0D23">
        <w:rPr>
          <w:rFonts w:asciiTheme="majorHAnsi" w:hAnsiTheme="majorHAnsi"/>
          <w:color w:val="000000"/>
          <w:szCs w:val="24"/>
        </w:rPr>
        <w:t>The global community’s ability to mitigate and adapt to climate change requires the continuous advancement of climate science and related disciplines. International climate policy is informed primarily by the assessments made by the Intergovernmental Panel on Climate Change (IPCC), which provide the most comprehensive and authoritative evaluation of the state of knowledge on climate science, including the Earth’s climate system and its expected changes under different scenarios. Despite the exponential increase of available data, other evidence and knowledge accumulated on these issues, there remain significant gaps in our understanding of key issues and processes. These may include factors such as insufficient or divergent evidence, low confidence findings or high uncertainties. Some of these gaps are identified in AR6 (specifically, in Working Group I contribution), “The Next Frontier for Climate Change Science”</w:t>
      </w:r>
      <w:r w:rsidRPr="00CB0D23">
        <w:rPr>
          <w:rFonts w:asciiTheme="majorHAnsi" w:hAnsiTheme="majorHAnsi"/>
          <w:szCs w:val="24"/>
          <w:vertAlign w:val="superscript"/>
        </w:rPr>
        <w:footnoteReference w:id="16"/>
      </w:r>
      <w:r w:rsidRPr="00CB0D23">
        <w:rPr>
          <w:rFonts w:asciiTheme="majorHAnsi" w:hAnsiTheme="majorHAnsi"/>
          <w:color w:val="000000"/>
          <w:szCs w:val="24"/>
        </w:rPr>
        <w:t xml:space="preserve"> and other relevant sources. Moreover, science has progressed since the closing of the evidence base used for AR6, raising new questions and avenues for inquiry.</w:t>
      </w:r>
    </w:p>
    <w:p w14:paraId="20B56F8A"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 xml:space="preserve">Proposals under this topic should seek to narrow the knowledge gaps in the realm of Earth system science (understood here as the scope of Working Group I of the IPCC), offering flexibility for applicants to define the specific research areas targeted. Proposals are expected to focus on </w:t>
      </w:r>
      <w:r w:rsidRPr="00CB0D23">
        <w:rPr>
          <w:rFonts w:asciiTheme="majorHAnsi" w:hAnsiTheme="majorHAnsi"/>
          <w:color w:val="000000"/>
          <w:szCs w:val="24"/>
        </w:rPr>
        <w:lastRenderedPageBreak/>
        <w:t>issues clearly within the scope of Cluster 5, Destination 1, and not prominently addressed by other topics of the 2025 and 2026-2027 Work Programmes, encouraging new scientific insights and approaches, and the involvement of researchers and entities new to Horizon Europe. Successful proposals are expected to enhance the scientific foundations and inform scientific assessments in a way that ensures they are comprehensive, accurate, and relevant for decision-makers.</w:t>
      </w:r>
    </w:p>
    <w:p w14:paraId="6B84BEA6"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Proposals should clearly identify the knowledge gap(s) they seek to address, substantiate why recent and ongoing research efforts are unlikely to sufficiently address the issue, explain how the proposed action is expected to contribute to the advancement of Earth system science and identify policy relevance of the research proposed.</w:t>
      </w:r>
    </w:p>
    <w:p w14:paraId="5E92C503"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International cooperation in the context of WCRP</w:t>
      </w:r>
      <w:r w:rsidRPr="00CB0D23">
        <w:rPr>
          <w:rFonts w:asciiTheme="majorHAnsi" w:hAnsiTheme="majorHAnsi"/>
          <w:szCs w:val="24"/>
          <w:vertAlign w:val="superscript"/>
        </w:rPr>
        <w:footnoteReference w:id="17"/>
      </w:r>
      <w:r w:rsidRPr="00CB0D23">
        <w:rPr>
          <w:rFonts w:asciiTheme="majorHAnsi" w:hAnsiTheme="majorHAnsi"/>
          <w:color w:val="000000"/>
          <w:szCs w:val="24"/>
        </w:rPr>
        <w:t xml:space="preserve"> and GCOS</w:t>
      </w:r>
      <w:r w:rsidRPr="00CB0D23">
        <w:rPr>
          <w:rFonts w:asciiTheme="majorHAnsi" w:hAnsiTheme="majorHAnsi"/>
          <w:szCs w:val="24"/>
          <w:vertAlign w:val="superscript"/>
        </w:rPr>
        <w:footnoteReference w:id="18"/>
      </w:r>
      <w:r w:rsidRPr="00CB0D23">
        <w:rPr>
          <w:rFonts w:asciiTheme="majorHAnsi" w:hAnsiTheme="majorHAnsi"/>
          <w:color w:val="000000"/>
          <w:szCs w:val="24"/>
        </w:rPr>
        <w:t xml:space="preserve"> is encouraged where relevant.</w:t>
      </w:r>
    </w:p>
    <w:p w14:paraId="3F9CF4B5" w14:textId="77777777" w:rsidR="00CB0D23" w:rsidRPr="00CB0D23" w:rsidRDefault="00CB0D23" w:rsidP="00CB0D23">
      <w:pPr>
        <w:rPr>
          <w:rFonts w:asciiTheme="majorHAnsi" w:hAnsiTheme="majorHAnsi"/>
          <w:szCs w:val="24"/>
        </w:rPr>
      </w:pPr>
      <w:r w:rsidRPr="00CB0D23">
        <w:rPr>
          <w:rFonts w:asciiTheme="majorHAnsi" w:hAnsiTheme="majorHAnsi"/>
          <w:color w:val="000000"/>
          <w:szCs w:val="24"/>
        </w:rPr>
        <w:t>Proposals indicating use of satellite remote sensing data and derived products are encouraged to collaborate with projects selected under ESA’s FutureEO programme and the EC-ESA Earth System Science Initiative (ESSI) to facilitate access to and uptake of satellite data products and related tools or methodologies. They should dedicate resources for collaborative actions.</w:t>
      </w:r>
    </w:p>
    <w:p w14:paraId="03649DD2" w14:textId="77777777" w:rsidR="00CB0D23" w:rsidRPr="00CB0D23" w:rsidRDefault="00CB0D23" w:rsidP="00CB0D23">
      <w:pPr>
        <w:rPr>
          <w:rFonts w:asciiTheme="majorHAnsi" w:hAnsiTheme="majorHAnsi"/>
          <w:szCs w:val="24"/>
        </w:rPr>
      </w:pPr>
    </w:p>
    <w:p w14:paraId="404EA5CF" w14:textId="77777777" w:rsidR="005A7E79" w:rsidRPr="00CB0D23" w:rsidRDefault="005A7E79">
      <w:pPr>
        <w:rPr>
          <w:rFonts w:asciiTheme="majorHAnsi" w:hAnsiTheme="majorHAnsi"/>
          <w:szCs w:val="24"/>
        </w:rPr>
      </w:pPr>
    </w:p>
    <w:sectPr w:rsidR="005A7E79" w:rsidRPr="00CB0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F5F3" w14:textId="77777777" w:rsidR="00CB0D23" w:rsidRDefault="00CB0D23" w:rsidP="00CB0D23">
      <w:pPr>
        <w:spacing w:after="0" w:line="240" w:lineRule="auto"/>
      </w:pPr>
      <w:r>
        <w:separator/>
      </w:r>
    </w:p>
  </w:endnote>
  <w:endnote w:type="continuationSeparator" w:id="0">
    <w:p w14:paraId="69C2218F" w14:textId="77777777" w:rsidR="00CB0D23" w:rsidRDefault="00CB0D23" w:rsidP="00CB0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030A5" w14:textId="77777777" w:rsidR="00CB0D23" w:rsidRDefault="00CB0D23" w:rsidP="00CB0D23">
      <w:pPr>
        <w:spacing w:after="0" w:line="240" w:lineRule="auto"/>
      </w:pPr>
      <w:r>
        <w:separator/>
      </w:r>
    </w:p>
  </w:footnote>
  <w:footnote w:type="continuationSeparator" w:id="0">
    <w:p w14:paraId="4938300E" w14:textId="77777777" w:rsidR="00CB0D23" w:rsidRDefault="00CB0D23" w:rsidP="00CB0D23">
      <w:pPr>
        <w:spacing w:after="0" w:line="240" w:lineRule="auto"/>
      </w:pPr>
      <w:r>
        <w:continuationSeparator/>
      </w:r>
    </w:p>
  </w:footnote>
  <w:footnote w:id="1">
    <w:p w14:paraId="46074181" w14:textId="77777777" w:rsidR="00CB0D23" w:rsidRDefault="00CB0D23" w:rsidP="00CB0D23">
      <w:pPr>
        <w:pStyle w:val="footnote1"/>
      </w:pPr>
      <w:r>
        <w:rPr>
          <w:vertAlign w:val="superscript"/>
        </w:rPr>
        <w:footnoteRef/>
      </w:r>
      <w:r>
        <w:rPr>
          <w:vertAlign w:val="superscript"/>
        </w:rPr>
        <w:tab/>
      </w:r>
      <w:r>
        <w:rPr>
          <w:color w:val="000000"/>
        </w:rPr>
        <w:t xml:space="preserve">This </w:t>
      </w:r>
      <w:hyperlink r:id="rId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
        <w:r>
          <w:rPr>
            <w:color w:val="0000FF"/>
            <w:szCs w:val="20"/>
            <w:u w:val="single"/>
          </w:rPr>
          <w:t>https://ec.europa.eu/info/funding-tenders/opportunities/docs/2021-2027/horizon/guidance/ls-decision_he_en.pdf</w:t>
        </w:r>
      </w:hyperlink>
    </w:p>
  </w:footnote>
  <w:footnote w:id="2">
    <w:p w14:paraId="1F68BEE4" w14:textId="77777777" w:rsidR="00CB0D23" w:rsidRDefault="00CB0D23" w:rsidP="00CB0D23">
      <w:pPr>
        <w:pStyle w:val="footnote1"/>
      </w:pPr>
      <w:r>
        <w:rPr>
          <w:vertAlign w:val="superscript"/>
        </w:rPr>
        <w:footnoteRef/>
      </w:r>
      <w:r>
        <w:rPr>
          <w:vertAlign w:val="superscript"/>
        </w:rPr>
        <w:tab/>
      </w:r>
      <w:hyperlink r:id="rId3">
        <w:r>
          <w:rPr>
            <w:color w:val="0000FF"/>
            <w:szCs w:val="20"/>
            <w:u w:val="single"/>
          </w:rPr>
          <w:t>GCOS Essential Climate Variables</w:t>
        </w:r>
      </w:hyperlink>
    </w:p>
  </w:footnote>
  <w:footnote w:id="3">
    <w:p w14:paraId="1070002E" w14:textId="77777777" w:rsidR="00CB0D23" w:rsidRDefault="00CB0D23" w:rsidP="00CB0D23">
      <w:pPr>
        <w:pStyle w:val="footnote1"/>
      </w:pPr>
      <w:r>
        <w:rPr>
          <w:vertAlign w:val="superscript"/>
        </w:rPr>
        <w:footnoteRef/>
      </w:r>
      <w:r>
        <w:rPr>
          <w:vertAlign w:val="superscript"/>
        </w:rPr>
        <w:tab/>
      </w:r>
      <w:hyperlink r:id="rId4">
        <w:r>
          <w:rPr>
            <w:color w:val="0000FF"/>
            <w:szCs w:val="20"/>
            <w:u w:val="single"/>
          </w:rPr>
          <w:t>https://www.wcrp-climate.org/</w:t>
        </w:r>
      </w:hyperlink>
    </w:p>
  </w:footnote>
  <w:footnote w:id="4">
    <w:p w14:paraId="33C3A5E6" w14:textId="77777777" w:rsidR="00CB0D23" w:rsidRDefault="00CB0D23" w:rsidP="00CB0D23">
      <w:pPr>
        <w:pStyle w:val="footnote1"/>
      </w:pPr>
      <w:r>
        <w:rPr>
          <w:vertAlign w:val="superscript"/>
        </w:rPr>
        <w:footnoteRef/>
      </w:r>
      <w:r>
        <w:rPr>
          <w:vertAlign w:val="superscript"/>
        </w:rPr>
        <w:tab/>
      </w:r>
      <w:hyperlink r:id="rId5">
        <w:r>
          <w:rPr>
            <w:color w:val="0000FF"/>
            <w:szCs w:val="20"/>
            <w:u w:val="single"/>
          </w:rPr>
          <w:t>https://gcos.wmo.int/site/global-climate-observing-system-gcos</w:t>
        </w:r>
      </w:hyperlink>
    </w:p>
  </w:footnote>
  <w:footnote w:id="5">
    <w:p w14:paraId="73C04371" w14:textId="77777777" w:rsidR="00CB0D23" w:rsidRDefault="00CB0D23" w:rsidP="00CB0D23">
      <w:pPr>
        <w:pStyle w:val="footnote1"/>
      </w:pPr>
      <w:r>
        <w:rPr>
          <w:vertAlign w:val="superscript"/>
        </w:rPr>
        <w:footnoteRef/>
      </w:r>
      <w:r>
        <w:rPr>
          <w:vertAlign w:val="superscript"/>
        </w:rPr>
        <w:tab/>
      </w:r>
      <w:hyperlink r:id="rId6">
        <w:r>
          <w:rPr>
            <w:color w:val="0000FF"/>
            <w:szCs w:val="20"/>
            <w:u w:val="single"/>
          </w:rPr>
          <w:t>https://www.iamconsortium.org/</w:t>
        </w:r>
      </w:hyperlink>
    </w:p>
  </w:footnote>
  <w:footnote w:id="6">
    <w:p w14:paraId="31E82C8E" w14:textId="77777777" w:rsidR="00CB0D23" w:rsidRDefault="00CB0D23" w:rsidP="00CB0D23">
      <w:pPr>
        <w:pStyle w:val="footnote1"/>
      </w:pPr>
      <w:r>
        <w:rPr>
          <w:vertAlign w:val="superscript"/>
        </w:rPr>
        <w:footnoteRef/>
      </w:r>
      <w:r>
        <w:rPr>
          <w:vertAlign w:val="superscript"/>
        </w:rPr>
        <w:tab/>
      </w:r>
      <w:r>
        <w:rPr>
          <w:color w:val="000000"/>
        </w:rPr>
        <w:t xml:space="preserve">This </w:t>
      </w:r>
      <w:hyperlink r:id="rId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
        <w:r>
          <w:rPr>
            <w:color w:val="0000FF"/>
            <w:szCs w:val="20"/>
            <w:u w:val="single"/>
          </w:rPr>
          <w:t>https://ec.europa.eu/info/funding-tenders/opportunities/docs/2021-2027/horizon/guidance/ls-decision_he_en.pdf</w:t>
        </w:r>
      </w:hyperlink>
    </w:p>
  </w:footnote>
  <w:footnote w:id="7">
    <w:p w14:paraId="330209A5" w14:textId="77777777" w:rsidR="00CB0D23" w:rsidRDefault="00CB0D23" w:rsidP="00CB0D23">
      <w:pPr>
        <w:pStyle w:val="footnote1"/>
      </w:pPr>
      <w:r>
        <w:rPr>
          <w:vertAlign w:val="superscript"/>
        </w:rPr>
        <w:footnoteRef/>
      </w:r>
      <w:r>
        <w:rPr>
          <w:vertAlign w:val="superscript"/>
        </w:rPr>
        <w:tab/>
      </w:r>
      <w:hyperlink r:id="rId9">
        <w:r>
          <w:rPr>
            <w:color w:val="0000FF"/>
            <w:szCs w:val="20"/>
            <w:u w:val="single"/>
          </w:rPr>
          <w:t>https://www.eea.europa.eu/en/analysis/publications/european-climate-risk-assessment</w:t>
        </w:r>
      </w:hyperlink>
    </w:p>
  </w:footnote>
  <w:footnote w:id="8">
    <w:p w14:paraId="7038D269" w14:textId="77777777" w:rsidR="00CB0D23" w:rsidRDefault="00CB0D23" w:rsidP="00CB0D23">
      <w:pPr>
        <w:pStyle w:val="footnote1"/>
      </w:pPr>
      <w:r>
        <w:rPr>
          <w:vertAlign w:val="superscript"/>
        </w:rPr>
        <w:footnoteRef/>
      </w:r>
      <w:r>
        <w:rPr>
          <w:vertAlign w:val="superscript"/>
        </w:rPr>
        <w:tab/>
      </w:r>
      <w:r>
        <w:rPr>
          <w:color w:val="000000"/>
        </w:rPr>
        <w:t>See for instance the report</w:t>
      </w:r>
      <w:r>
        <w:rPr>
          <w:color w:val="000000"/>
          <w:u w:val="single"/>
        </w:rPr>
        <w:t xml:space="preserve"> “</w:t>
      </w:r>
      <w:hyperlink r:id="rId10">
        <w:r>
          <w:rPr>
            <w:color w:val="0000FF"/>
            <w:szCs w:val="20"/>
            <w:u w:val="single"/>
          </w:rPr>
          <w:t>Safer together: A path towards a fully prepared Union - European Commission</w:t>
        </w:r>
      </w:hyperlink>
      <w:r>
        <w:rPr>
          <w:color w:val="000000"/>
        </w:rPr>
        <w:t>”</w:t>
      </w:r>
    </w:p>
  </w:footnote>
  <w:footnote w:id="9">
    <w:p w14:paraId="4EECED52" w14:textId="77777777" w:rsidR="00CB0D23" w:rsidRDefault="00CB0D23" w:rsidP="00CB0D23">
      <w:pPr>
        <w:pStyle w:val="footnote1"/>
      </w:pPr>
      <w:r>
        <w:rPr>
          <w:vertAlign w:val="superscript"/>
        </w:rPr>
        <w:footnoteRef/>
      </w:r>
      <w:r>
        <w:rPr>
          <w:vertAlign w:val="superscript"/>
        </w:rPr>
        <w:tab/>
      </w:r>
      <w:r>
        <w:rPr>
          <w:color w:val="000000"/>
        </w:rPr>
        <w:t>Northern, Western, Central-eastern and Southern Europe as considered in the EUCRA report.</w:t>
      </w:r>
    </w:p>
  </w:footnote>
  <w:footnote w:id="10">
    <w:p w14:paraId="72594145" w14:textId="77777777" w:rsidR="00CB0D23" w:rsidRDefault="00CB0D23" w:rsidP="00CB0D23">
      <w:pPr>
        <w:pStyle w:val="footnote1"/>
      </w:pPr>
      <w:r>
        <w:rPr>
          <w:vertAlign w:val="superscript"/>
        </w:rPr>
        <w:footnoteRef/>
      </w:r>
      <w:r>
        <w:rPr>
          <w:vertAlign w:val="superscript"/>
        </w:rPr>
        <w:tab/>
      </w:r>
      <w:hyperlink r:id="rId11">
        <w:r>
          <w:rPr>
            <w:color w:val="0000FF"/>
            <w:szCs w:val="20"/>
            <w:u w:val="single"/>
          </w:rPr>
          <w:t>https://www.iriscc.eu/</w:t>
        </w:r>
      </w:hyperlink>
    </w:p>
  </w:footnote>
  <w:footnote w:id="11">
    <w:p w14:paraId="6529F624" w14:textId="77777777" w:rsidR="00CB0D23" w:rsidRDefault="00CB0D23" w:rsidP="00CB0D23">
      <w:pPr>
        <w:pStyle w:val="footnote1"/>
      </w:pPr>
      <w:r>
        <w:rPr>
          <w:vertAlign w:val="superscript"/>
        </w:rPr>
        <w:footnoteRef/>
      </w:r>
      <w:r>
        <w:rPr>
          <w:vertAlign w:val="superscript"/>
        </w:rPr>
        <w:tab/>
      </w:r>
      <w:hyperlink r:id="rId12">
        <w:r>
          <w:rPr>
            <w:color w:val="0000FF"/>
            <w:szCs w:val="20"/>
            <w:u w:val="single"/>
          </w:rPr>
          <w:t>https://datahelpdesk.worldbank.org/knowledgebase/articles/906519-world-bank-country-and-lendinggroups</w:t>
        </w:r>
      </w:hyperlink>
      <w:r>
        <w:rPr>
          <w:color w:val="000000"/>
        </w:rPr>
        <w:t xml:space="preserve"> ; standard Horizon Europe funding rules apply - only participants from some of these countries are automatically eligible for funding</w:t>
      </w:r>
    </w:p>
  </w:footnote>
  <w:footnote w:id="12">
    <w:p w14:paraId="15D4A982" w14:textId="77777777" w:rsidR="00CB0D23" w:rsidRDefault="00CB0D23" w:rsidP="00CB0D23">
      <w:pPr>
        <w:pStyle w:val="footnote1"/>
      </w:pPr>
      <w:r>
        <w:rPr>
          <w:vertAlign w:val="superscript"/>
        </w:rPr>
        <w:footnoteRef/>
      </w:r>
      <w:r>
        <w:rPr>
          <w:vertAlign w:val="superscript"/>
        </w:rPr>
        <w:tab/>
      </w:r>
      <w:r>
        <w:rPr>
          <w:color w:val="000000"/>
        </w:rPr>
        <w:t xml:space="preserve">This </w:t>
      </w:r>
      <w:hyperlink r:id="rId1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
        <w:r>
          <w:rPr>
            <w:color w:val="0000FF"/>
            <w:szCs w:val="20"/>
            <w:u w:val="single"/>
          </w:rPr>
          <w:t>https://ec.europa.eu/info/funding-tenders/opportunities/docs/2021-2027/horizon/guidance/ls-decision_he_en.pdf</w:t>
        </w:r>
      </w:hyperlink>
    </w:p>
  </w:footnote>
  <w:footnote w:id="13">
    <w:p w14:paraId="1A779F52" w14:textId="77777777" w:rsidR="00CB0D23" w:rsidRDefault="00CB0D23" w:rsidP="00CB0D23">
      <w:pPr>
        <w:pStyle w:val="footnote1"/>
      </w:pPr>
      <w:r>
        <w:rPr>
          <w:vertAlign w:val="superscript"/>
        </w:rPr>
        <w:footnoteRef/>
      </w:r>
      <w:r>
        <w:rPr>
          <w:vertAlign w:val="superscript"/>
        </w:rPr>
        <w:tab/>
      </w:r>
      <w:r>
        <w:rPr>
          <w:color w:val="000000"/>
        </w:rPr>
        <w:t xml:space="preserve">For example, the proposals could build upon the joint World Bank and European Commission reports on disaster and climate resilience: </w:t>
      </w:r>
      <w:hyperlink r:id="rId15">
        <w:r>
          <w:rPr>
            <w:color w:val="0000FF"/>
            <w:szCs w:val="20"/>
            <w:u w:val="single"/>
          </w:rPr>
          <w:t>Economics for Disaster Prevention and Preparedness</w:t>
        </w:r>
      </w:hyperlink>
    </w:p>
  </w:footnote>
  <w:footnote w:id="14">
    <w:p w14:paraId="7A27BE04" w14:textId="77777777" w:rsidR="00CB0D23" w:rsidRDefault="00CB0D23" w:rsidP="00CB0D23">
      <w:pPr>
        <w:pStyle w:val="footnote1"/>
      </w:pPr>
      <w:r>
        <w:rPr>
          <w:vertAlign w:val="superscript"/>
        </w:rPr>
        <w:footnoteRef/>
      </w:r>
      <w:r>
        <w:rPr>
          <w:vertAlign w:val="superscript"/>
        </w:rPr>
        <w:tab/>
      </w:r>
      <w:r>
        <w:rPr>
          <w:color w:val="000000"/>
        </w:rPr>
        <w:t>https://edgar.jrc.ec.europa.eu/report_2024?vis=ghgtot#emissions_table</w:t>
      </w:r>
    </w:p>
  </w:footnote>
  <w:footnote w:id="15">
    <w:p w14:paraId="0C43B6D9" w14:textId="77777777" w:rsidR="00CB0D23" w:rsidRDefault="00CB0D23" w:rsidP="00CB0D23">
      <w:pPr>
        <w:pStyle w:val="footnote1"/>
      </w:pPr>
      <w:r>
        <w:rPr>
          <w:vertAlign w:val="superscript"/>
        </w:rPr>
        <w:footnoteRef/>
      </w:r>
      <w:r>
        <w:rPr>
          <w:vertAlign w:val="superscript"/>
        </w:rPr>
        <w:tab/>
      </w:r>
      <w:r>
        <w:rPr>
          <w:color w:val="000000"/>
        </w:rPr>
        <w:t xml:space="preserve">This </w:t>
      </w:r>
      <w:hyperlink r:id="rId1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7">
        <w:r>
          <w:rPr>
            <w:color w:val="0000FF"/>
            <w:szCs w:val="20"/>
            <w:u w:val="single"/>
          </w:rPr>
          <w:t>https://ec.europa.eu/info/funding-tenders/opportunities/docs/2021-2027/horizon/guidance/ls-decision_he_en.pdf</w:t>
        </w:r>
      </w:hyperlink>
    </w:p>
  </w:footnote>
  <w:footnote w:id="16">
    <w:p w14:paraId="1CCA654C" w14:textId="77777777" w:rsidR="00CB0D23" w:rsidRDefault="00CB0D23" w:rsidP="00CB0D23">
      <w:pPr>
        <w:pStyle w:val="footnote1"/>
      </w:pPr>
      <w:r>
        <w:rPr>
          <w:vertAlign w:val="superscript"/>
        </w:rPr>
        <w:footnoteRef/>
      </w:r>
      <w:r>
        <w:rPr>
          <w:vertAlign w:val="superscript"/>
        </w:rPr>
        <w:tab/>
      </w:r>
      <w:hyperlink r:id="rId18">
        <w:r>
          <w:rPr>
            <w:color w:val="0000FF"/>
            <w:szCs w:val="20"/>
            <w:u w:val="single"/>
          </w:rPr>
          <w:t>The next frontier for climate change science - Publications Office of the EU</w:t>
        </w:r>
      </w:hyperlink>
    </w:p>
  </w:footnote>
  <w:footnote w:id="17">
    <w:p w14:paraId="1B9CCC82" w14:textId="77777777" w:rsidR="00CB0D23" w:rsidRDefault="00CB0D23" w:rsidP="00CB0D23">
      <w:pPr>
        <w:pStyle w:val="footnote1"/>
      </w:pPr>
      <w:r>
        <w:rPr>
          <w:vertAlign w:val="superscript"/>
        </w:rPr>
        <w:footnoteRef/>
      </w:r>
      <w:r>
        <w:rPr>
          <w:vertAlign w:val="superscript"/>
        </w:rPr>
        <w:tab/>
      </w:r>
      <w:hyperlink r:id="rId19">
        <w:r>
          <w:rPr>
            <w:color w:val="0000FF"/>
            <w:szCs w:val="20"/>
            <w:u w:val="single"/>
          </w:rPr>
          <w:t>https://www.wcrp-climate.org/</w:t>
        </w:r>
      </w:hyperlink>
    </w:p>
  </w:footnote>
  <w:footnote w:id="18">
    <w:p w14:paraId="695E5E08" w14:textId="77777777" w:rsidR="00CB0D23" w:rsidRDefault="00CB0D23" w:rsidP="00CB0D23">
      <w:pPr>
        <w:pStyle w:val="footnote1"/>
      </w:pPr>
      <w:r>
        <w:rPr>
          <w:vertAlign w:val="superscript"/>
        </w:rPr>
        <w:footnoteRef/>
      </w:r>
      <w:r>
        <w:rPr>
          <w:vertAlign w:val="superscript"/>
        </w:rPr>
        <w:tab/>
      </w:r>
      <w:hyperlink r:id="rId20">
        <w:r>
          <w:rPr>
            <w:color w:val="0000FF"/>
            <w:szCs w:val="20"/>
            <w:u w:val="single"/>
          </w:rPr>
          <w:t>https://gcos.wmo.int/site/global-climate-observing-system-gcos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B4A3F"/>
    <w:multiLevelType w:val="hybridMultilevel"/>
    <w:tmpl w:val="2F2C29D0"/>
    <w:lvl w:ilvl="0" w:tplc="833E879A">
      <w:start w:val="1"/>
      <w:numFmt w:val="decimal"/>
      <w:lvlText w:val="%1."/>
      <w:lvlJc w:val="right"/>
      <w:pPr>
        <w:ind w:left="500" w:hanging="180"/>
      </w:pPr>
    </w:lvl>
    <w:lvl w:ilvl="1" w:tplc="96581A02">
      <w:start w:val="1"/>
      <w:numFmt w:val="decimal"/>
      <w:lvlText w:val="%2."/>
      <w:lvlJc w:val="right"/>
      <w:pPr>
        <w:ind w:left="1000" w:hanging="180"/>
      </w:pPr>
    </w:lvl>
    <w:lvl w:ilvl="2" w:tplc="13F29232">
      <w:start w:val="1"/>
      <w:numFmt w:val="decimal"/>
      <w:lvlText w:val="%3."/>
      <w:lvlJc w:val="right"/>
      <w:pPr>
        <w:ind w:left="1500" w:hanging="180"/>
      </w:pPr>
    </w:lvl>
    <w:lvl w:ilvl="3" w:tplc="30BC040E">
      <w:start w:val="1"/>
      <w:numFmt w:val="decimal"/>
      <w:lvlText w:val="%4."/>
      <w:lvlJc w:val="right"/>
      <w:pPr>
        <w:ind w:left="2000" w:hanging="180"/>
      </w:pPr>
    </w:lvl>
    <w:lvl w:ilvl="4" w:tplc="F03E30F8">
      <w:start w:val="1"/>
      <w:numFmt w:val="decimal"/>
      <w:lvlText w:val="%5."/>
      <w:lvlJc w:val="right"/>
      <w:pPr>
        <w:ind w:left="2500" w:hanging="180"/>
      </w:pPr>
    </w:lvl>
    <w:lvl w:ilvl="5" w:tplc="1FA680DC">
      <w:start w:val="1"/>
      <w:numFmt w:val="decimal"/>
      <w:lvlText w:val="%6."/>
      <w:lvlJc w:val="right"/>
      <w:pPr>
        <w:ind w:left="3000" w:hanging="180"/>
      </w:pPr>
    </w:lvl>
    <w:lvl w:ilvl="6" w:tplc="EF74B728">
      <w:start w:val="1"/>
      <w:numFmt w:val="decimal"/>
      <w:lvlText w:val="%7."/>
      <w:lvlJc w:val="right"/>
      <w:pPr>
        <w:ind w:left="3500" w:hanging="180"/>
      </w:pPr>
    </w:lvl>
    <w:lvl w:ilvl="7" w:tplc="F812691C">
      <w:start w:val="1"/>
      <w:numFmt w:val="decimal"/>
      <w:lvlText w:val="%8."/>
      <w:lvlJc w:val="right"/>
      <w:pPr>
        <w:ind w:left="4000" w:hanging="180"/>
      </w:pPr>
    </w:lvl>
    <w:lvl w:ilvl="8" w:tplc="CD421C60">
      <w:start w:val="1"/>
      <w:numFmt w:val="decimal"/>
      <w:lvlText w:val="%9."/>
      <w:lvlJc w:val="right"/>
      <w:pPr>
        <w:ind w:left="4500" w:hanging="180"/>
      </w:pPr>
    </w:lvl>
  </w:abstractNum>
  <w:abstractNum w:abstractNumId="1" w15:restartNumberingAfterBreak="0">
    <w:nsid w:val="2766223C"/>
    <w:multiLevelType w:val="hybridMultilevel"/>
    <w:tmpl w:val="15BE866E"/>
    <w:lvl w:ilvl="0" w:tplc="AE4E95F8">
      <w:start w:val="1"/>
      <w:numFmt w:val="decimal"/>
      <w:lvlText w:val="%1."/>
      <w:lvlJc w:val="right"/>
      <w:pPr>
        <w:ind w:left="500" w:hanging="180"/>
      </w:pPr>
    </w:lvl>
    <w:lvl w:ilvl="1" w:tplc="E3D4F372">
      <w:start w:val="1"/>
      <w:numFmt w:val="decimal"/>
      <w:lvlText w:val="%2."/>
      <w:lvlJc w:val="right"/>
      <w:pPr>
        <w:ind w:left="1000" w:hanging="180"/>
      </w:pPr>
    </w:lvl>
    <w:lvl w:ilvl="2" w:tplc="E0327CF0">
      <w:start w:val="1"/>
      <w:numFmt w:val="decimal"/>
      <w:lvlText w:val="%3."/>
      <w:lvlJc w:val="right"/>
      <w:pPr>
        <w:ind w:left="1500" w:hanging="180"/>
      </w:pPr>
    </w:lvl>
    <w:lvl w:ilvl="3" w:tplc="945AAAEA">
      <w:start w:val="1"/>
      <w:numFmt w:val="decimal"/>
      <w:lvlText w:val="%4."/>
      <w:lvlJc w:val="right"/>
      <w:pPr>
        <w:ind w:left="2000" w:hanging="180"/>
      </w:pPr>
    </w:lvl>
    <w:lvl w:ilvl="4" w:tplc="41CECC9A">
      <w:start w:val="1"/>
      <w:numFmt w:val="decimal"/>
      <w:lvlText w:val="%5."/>
      <w:lvlJc w:val="right"/>
      <w:pPr>
        <w:ind w:left="2500" w:hanging="180"/>
      </w:pPr>
    </w:lvl>
    <w:lvl w:ilvl="5" w:tplc="E99A71F4">
      <w:start w:val="1"/>
      <w:numFmt w:val="decimal"/>
      <w:lvlText w:val="%6."/>
      <w:lvlJc w:val="right"/>
      <w:pPr>
        <w:ind w:left="3000" w:hanging="180"/>
      </w:pPr>
    </w:lvl>
    <w:lvl w:ilvl="6" w:tplc="044C29FE">
      <w:start w:val="1"/>
      <w:numFmt w:val="decimal"/>
      <w:lvlText w:val="%7."/>
      <w:lvlJc w:val="right"/>
      <w:pPr>
        <w:ind w:left="3500" w:hanging="180"/>
      </w:pPr>
    </w:lvl>
    <w:lvl w:ilvl="7" w:tplc="4B44EC2C">
      <w:start w:val="1"/>
      <w:numFmt w:val="decimal"/>
      <w:lvlText w:val="%8."/>
      <w:lvlJc w:val="right"/>
      <w:pPr>
        <w:ind w:left="4000" w:hanging="180"/>
      </w:pPr>
    </w:lvl>
    <w:lvl w:ilvl="8" w:tplc="18889224">
      <w:start w:val="1"/>
      <w:numFmt w:val="decimal"/>
      <w:lvlText w:val="%9."/>
      <w:lvlJc w:val="right"/>
      <w:pPr>
        <w:ind w:left="4500" w:hanging="180"/>
      </w:pPr>
    </w:lvl>
  </w:abstractNum>
  <w:abstractNum w:abstractNumId="2" w15:restartNumberingAfterBreak="0">
    <w:nsid w:val="326A3AC6"/>
    <w:multiLevelType w:val="hybridMultilevel"/>
    <w:tmpl w:val="FD4865BA"/>
    <w:lvl w:ilvl="0" w:tplc="EC681470">
      <w:start w:val="1"/>
      <w:numFmt w:val="decimal"/>
      <w:lvlText w:val="%1."/>
      <w:lvlJc w:val="right"/>
      <w:pPr>
        <w:ind w:left="500" w:hanging="180"/>
      </w:pPr>
    </w:lvl>
    <w:lvl w:ilvl="1" w:tplc="60FC0D9E">
      <w:start w:val="1"/>
      <w:numFmt w:val="decimal"/>
      <w:lvlText w:val="%2."/>
      <w:lvlJc w:val="right"/>
      <w:pPr>
        <w:ind w:left="1000" w:hanging="180"/>
      </w:pPr>
    </w:lvl>
    <w:lvl w:ilvl="2" w:tplc="C0B2F75A">
      <w:start w:val="1"/>
      <w:numFmt w:val="decimal"/>
      <w:lvlText w:val="%3."/>
      <w:lvlJc w:val="right"/>
      <w:pPr>
        <w:ind w:left="1500" w:hanging="180"/>
      </w:pPr>
    </w:lvl>
    <w:lvl w:ilvl="3" w:tplc="01600E46">
      <w:start w:val="1"/>
      <w:numFmt w:val="decimal"/>
      <w:lvlText w:val="%4."/>
      <w:lvlJc w:val="right"/>
      <w:pPr>
        <w:ind w:left="2000" w:hanging="180"/>
      </w:pPr>
    </w:lvl>
    <w:lvl w:ilvl="4" w:tplc="F1088622">
      <w:start w:val="1"/>
      <w:numFmt w:val="decimal"/>
      <w:lvlText w:val="%5."/>
      <w:lvlJc w:val="right"/>
      <w:pPr>
        <w:ind w:left="2500" w:hanging="180"/>
      </w:pPr>
    </w:lvl>
    <w:lvl w:ilvl="5" w:tplc="687CE64C">
      <w:start w:val="1"/>
      <w:numFmt w:val="decimal"/>
      <w:lvlText w:val="%6."/>
      <w:lvlJc w:val="right"/>
      <w:pPr>
        <w:ind w:left="3000" w:hanging="180"/>
      </w:pPr>
    </w:lvl>
    <w:lvl w:ilvl="6" w:tplc="9558C0DE">
      <w:start w:val="1"/>
      <w:numFmt w:val="decimal"/>
      <w:lvlText w:val="%7."/>
      <w:lvlJc w:val="right"/>
      <w:pPr>
        <w:ind w:left="3500" w:hanging="180"/>
      </w:pPr>
    </w:lvl>
    <w:lvl w:ilvl="7" w:tplc="8160CB2E">
      <w:start w:val="1"/>
      <w:numFmt w:val="decimal"/>
      <w:lvlText w:val="%8."/>
      <w:lvlJc w:val="right"/>
      <w:pPr>
        <w:ind w:left="4000" w:hanging="180"/>
      </w:pPr>
    </w:lvl>
    <w:lvl w:ilvl="8" w:tplc="3F5865C0">
      <w:start w:val="1"/>
      <w:numFmt w:val="decimal"/>
      <w:lvlText w:val="%9."/>
      <w:lvlJc w:val="right"/>
      <w:pPr>
        <w:ind w:left="4500" w:hanging="180"/>
      </w:pPr>
    </w:lvl>
  </w:abstractNum>
  <w:abstractNum w:abstractNumId="3" w15:restartNumberingAfterBreak="0">
    <w:nsid w:val="3ED828C8"/>
    <w:multiLevelType w:val="hybridMultilevel"/>
    <w:tmpl w:val="7D9680D4"/>
    <w:name w:val="CPSNumberingScheme"/>
    <w:lvl w:ilvl="0" w:tplc="C9CAE384">
      <w:start w:val="1"/>
      <w:numFmt w:val="decimal"/>
      <w:lvlText w:val="%1."/>
      <w:lvlJc w:val="right"/>
      <w:pPr>
        <w:ind w:left="500" w:hanging="180"/>
      </w:pPr>
    </w:lvl>
    <w:lvl w:ilvl="1" w:tplc="C0C8709C">
      <w:start w:val="1"/>
      <w:numFmt w:val="decimal"/>
      <w:lvlText w:val="%2."/>
      <w:lvlJc w:val="right"/>
      <w:pPr>
        <w:ind w:left="1000" w:hanging="180"/>
      </w:pPr>
    </w:lvl>
    <w:lvl w:ilvl="2" w:tplc="7FE8484C">
      <w:start w:val="1"/>
      <w:numFmt w:val="decimal"/>
      <w:lvlText w:val="%3."/>
      <w:lvlJc w:val="right"/>
      <w:pPr>
        <w:ind w:left="1500" w:hanging="180"/>
      </w:pPr>
    </w:lvl>
    <w:lvl w:ilvl="3" w:tplc="13B2F9CE">
      <w:start w:val="1"/>
      <w:numFmt w:val="decimal"/>
      <w:lvlText w:val="%4."/>
      <w:lvlJc w:val="right"/>
      <w:pPr>
        <w:ind w:left="2000" w:hanging="180"/>
      </w:pPr>
    </w:lvl>
    <w:lvl w:ilvl="4" w:tplc="EE9A42B4">
      <w:start w:val="1"/>
      <w:numFmt w:val="decimal"/>
      <w:lvlText w:val="%5."/>
      <w:lvlJc w:val="right"/>
      <w:pPr>
        <w:ind w:left="2500" w:hanging="180"/>
      </w:pPr>
    </w:lvl>
    <w:lvl w:ilvl="5" w:tplc="44500AC4">
      <w:start w:val="1"/>
      <w:numFmt w:val="decimal"/>
      <w:lvlText w:val="%6."/>
      <w:lvlJc w:val="right"/>
      <w:pPr>
        <w:ind w:left="3000" w:hanging="180"/>
      </w:pPr>
    </w:lvl>
    <w:lvl w:ilvl="6" w:tplc="81B8DBE2">
      <w:start w:val="1"/>
      <w:numFmt w:val="decimal"/>
      <w:lvlText w:val="%7."/>
      <w:lvlJc w:val="right"/>
      <w:pPr>
        <w:ind w:left="3500" w:hanging="180"/>
      </w:pPr>
    </w:lvl>
    <w:lvl w:ilvl="7" w:tplc="19A8A270">
      <w:start w:val="1"/>
      <w:numFmt w:val="decimal"/>
      <w:lvlText w:val="%8."/>
      <w:lvlJc w:val="right"/>
      <w:pPr>
        <w:ind w:left="4000" w:hanging="180"/>
      </w:pPr>
    </w:lvl>
    <w:lvl w:ilvl="8" w:tplc="2EBEAB4A">
      <w:start w:val="1"/>
      <w:numFmt w:val="decimal"/>
      <w:lvlText w:val="%9."/>
      <w:lvlJc w:val="right"/>
      <w:pPr>
        <w:ind w:left="4500" w:hanging="180"/>
      </w:pPr>
    </w:lvl>
  </w:abstractNum>
  <w:abstractNum w:abstractNumId="4" w15:restartNumberingAfterBreak="0">
    <w:nsid w:val="5D0E2229"/>
    <w:multiLevelType w:val="hybridMultilevel"/>
    <w:tmpl w:val="53A696C2"/>
    <w:lvl w:ilvl="0" w:tplc="2AD49546">
      <w:start w:val="1"/>
      <w:numFmt w:val="decimal"/>
      <w:lvlText w:val="%1."/>
      <w:lvlJc w:val="right"/>
      <w:pPr>
        <w:ind w:left="500" w:hanging="180"/>
      </w:pPr>
    </w:lvl>
    <w:lvl w:ilvl="1" w:tplc="36F01962">
      <w:start w:val="1"/>
      <w:numFmt w:val="decimal"/>
      <w:lvlText w:val="%2."/>
      <w:lvlJc w:val="right"/>
      <w:pPr>
        <w:ind w:left="1000" w:hanging="180"/>
      </w:pPr>
    </w:lvl>
    <w:lvl w:ilvl="2" w:tplc="28468B32">
      <w:start w:val="1"/>
      <w:numFmt w:val="decimal"/>
      <w:lvlText w:val="%3."/>
      <w:lvlJc w:val="right"/>
      <w:pPr>
        <w:ind w:left="1500" w:hanging="180"/>
      </w:pPr>
    </w:lvl>
    <w:lvl w:ilvl="3" w:tplc="907A0B2A">
      <w:start w:val="1"/>
      <w:numFmt w:val="decimal"/>
      <w:lvlText w:val="%4."/>
      <w:lvlJc w:val="right"/>
      <w:pPr>
        <w:ind w:left="2000" w:hanging="180"/>
      </w:pPr>
    </w:lvl>
    <w:lvl w:ilvl="4" w:tplc="952A17D4">
      <w:start w:val="1"/>
      <w:numFmt w:val="decimal"/>
      <w:lvlText w:val="%5."/>
      <w:lvlJc w:val="right"/>
      <w:pPr>
        <w:ind w:left="2500" w:hanging="180"/>
      </w:pPr>
    </w:lvl>
    <w:lvl w:ilvl="5" w:tplc="6AD02378">
      <w:start w:val="1"/>
      <w:numFmt w:val="decimal"/>
      <w:lvlText w:val="%6."/>
      <w:lvlJc w:val="right"/>
      <w:pPr>
        <w:ind w:left="3000" w:hanging="180"/>
      </w:pPr>
    </w:lvl>
    <w:lvl w:ilvl="6" w:tplc="06B0D604">
      <w:start w:val="1"/>
      <w:numFmt w:val="decimal"/>
      <w:lvlText w:val="%7."/>
      <w:lvlJc w:val="right"/>
      <w:pPr>
        <w:ind w:left="3500" w:hanging="180"/>
      </w:pPr>
    </w:lvl>
    <w:lvl w:ilvl="7" w:tplc="EC7A976A">
      <w:start w:val="1"/>
      <w:numFmt w:val="decimal"/>
      <w:lvlText w:val="%8."/>
      <w:lvlJc w:val="right"/>
      <w:pPr>
        <w:ind w:left="4000" w:hanging="180"/>
      </w:pPr>
    </w:lvl>
    <w:lvl w:ilvl="8" w:tplc="6ABA03F0">
      <w:start w:val="1"/>
      <w:numFmt w:val="decimal"/>
      <w:lvlText w:val="%9."/>
      <w:lvlJc w:val="right"/>
      <w:pPr>
        <w:ind w:left="4500" w:hanging="180"/>
      </w:pPr>
    </w:lvl>
  </w:abstractNum>
  <w:abstractNum w:abstractNumId="5" w15:restartNumberingAfterBreak="0">
    <w:nsid w:val="7CE53698"/>
    <w:multiLevelType w:val="hybridMultilevel"/>
    <w:tmpl w:val="28E4FB8E"/>
    <w:lvl w:ilvl="0" w:tplc="1A3CF2A8">
      <w:start w:val="1"/>
      <w:numFmt w:val="decimal"/>
      <w:lvlText w:val="%1."/>
      <w:lvlJc w:val="right"/>
      <w:pPr>
        <w:ind w:left="500" w:hanging="180"/>
      </w:pPr>
    </w:lvl>
    <w:lvl w:ilvl="1" w:tplc="D1DA18F6">
      <w:start w:val="1"/>
      <w:numFmt w:val="decimal"/>
      <w:lvlText w:val="%2."/>
      <w:lvlJc w:val="right"/>
      <w:pPr>
        <w:ind w:left="1000" w:hanging="180"/>
      </w:pPr>
    </w:lvl>
    <w:lvl w:ilvl="2" w:tplc="F97A5298">
      <w:start w:val="1"/>
      <w:numFmt w:val="decimal"/>
      <w:lvlText w:val="%3."/>
      <w:lvlJc w:val="right"/>
      <w:pPr>
        <w:ind w:left="1500" w:hanging="180"/>
      </w:pPr>
    </w:lvl>
    <w:lvl w:ilvl="3" w:tplc="FDD2E8DE">
      <w:start w:val="1"/>
      <w:numFmt w:val="decimal"/>
      <w:lvlText w:val="%4."/>
      <w:lvlJc w:val="right"/>
      <w:pPr>
        <w:ind w:left="2000" w:hanging="180"/>
      </w:pPr>
    </w:lvl>
    <w:lvl w:ilvl="4" w:tplc="34CCD3E0">
      <w:start w:val="1"/>
      <w:numFmt w:val="decimal"/>
      <w:lvlText w:val="%5."/>
      <w:lvlJc w:val="right"/>
      <w:pPr>
        <w:ind w:left="2500" w:hanging="180"/>
      </w:pPr>
    </w:lvl>
    <w:lvl w:ilvl="5" w:tplc="EC60C090">
      <w:start w:val="1"/>
      <w:numFmt w:val="decimal"/>
      <w:lvlText w:val="%6."/>
      <w:lvlJc w:val="right"/>
      <w:pPr>
        <w:ind w:left="3000" w:hanging="180"/>
      </w:pPr>
    </w:lvl>
    <w:lvl w:ilvl="6" w:tplc="CFB04590">
      <w:start w:val="1"/>
      <w:numFmt w:val="decimal"/>
      <w:lvlText w:val="%7."/>
      <w:lvlJc w:val="right"/>
      <w:pPr>
        <w:ind w:left="3500" w:hanging="180"/>
      </w:pPr>
    </w:lvl>
    <w:lvl w:ilvl="7" w:tplc="347E1650">
      <w:start w:val="1"/>
      <w:numFmt w:val="decimal"/>
      <w:lvlText w:val="%8."/>
      <w:lvlJc w:val="right"/>
      <w:pPr>
        <w:ind w:left="4000" w:hanging="180"/>
      </w:pPr>
    </w:lvl>
    <w:lvl w:ilvl="8" w:tplc="685CFF5E">
      <w:start w:val="1"/>
      <w:numFmt w:val="decimal"/>
      <w:lvlText w:val="%9."/>
      <w:lvlJc w:val="right"/>
      <w:pPr>
        <w:ind w:left="4500" w:hanging="180"/>
      </w:pPr>
    </w:lvl>
  </w:abstractNum>
  <w:num w:numId="1" w16cid:durableId="2146311690">
    <w:abstractNumId w:val="3"/>
    <w:lvlOverride w:ilvl="0">
      <w:startOverride w:val="1"/>
      <w:lvl w:ilvl="0" w:tplc="C9CAE384">
        <w:start w:val="1"/>
        <w:numFmt w:val="bullet"/>
        <w:lvlText w:val=""/>
        <w:lvlJc w:val="right"/>
        <w:pPr>
          <w:ind w:left="500" w:hanging="180"/>
        </w:pPr>
        <w:rPr>
          <w:rFonts w:ascii="Symbol" w:hAnsi="Symbol" w:hint="default"/>
        </w:rPr>
      </w:lvl>
    </w:lvlOverride>
    <w:lvlOverride w:ilvl="1">
      <w:startOverride w:val="1"/>
      <w:lvl w:ilvl="1" w:tplc="C0C8709C">
        <w:start w:val="1"/>
        <w:numFmt w:val="decimal"/>
        <w:lvlText w:val="%2."/>
        <w:lvlJc w:val="right"/>
        <w:pPr>
          <w:ind w:left="1000" w:hanging="180"/>
        </w:pPr>
      </w:lvl>
    </w:lvlOverride>
    <w:lvlOverride w:ilvl="2">
      <w:startOverride w:val="1"/>
      <w:lvl w:ilvl="2" w:tplc="7FE8484C">
        <w:start w:val="1"/>
        <w:numFmt w:val="decimal"/>
        <w:lvlText w:val="%3."/>
        <w:lvlJc w:val="right"/>
        <w:pPr>
          <w:ind w:left="1500" w:hanging="180"/>
        </w:pPr>
      </w:lvl>
    </w:lvlOverride>
    <w:lvlOverride w:ilvl="3">
      <w:startOverride w:val="1"/>
      <w:lvl w:ilvl="3" w:tplc="13B2F9CE">
        <w:start w:val="1"/>
        <w:numFmt w:val="decimal"/>
        <w:lvlText w:val="%4."/>
        <w:lvlJc w:val="right"/>
        <w:pPr>
          <w:ind w:left="2000" w:hanging="180"/>
        </w:pPr>
      </w:lvl>
    </w:lvlOverride>
    <w:lvlOverride w:ilvl="4">
      <w:startOverride w:val="1"/>
      <w:lvl w:ilvl="4" w:tplc="EE9A42B4">
        <w:start w:val="1"/>
        <w:numFmt w:val="decimal"/>
        <w:lvlText w:val="%5."/>
        <w:lvlJc w:val="right"/>
        <w:pPr>
          <w:ind w:left="2500" w:hanging="180"/>
        </w:pPr>
      </w:lvl>
    </w:lvlOverride>
    <w:lvlOverride w:ilvl="5">
      <w:startOverride w:val="1"/>
      <w:lvl w:ilvl="5" w:tplc="44500AC4">
        <w:start w:val="1"/>
        <w:numFmt w:val="decimal"/>
        <w:lvlText w:val="%6."/>
        <w:lvlJc w:val="right"/>
        <w:pPr>
          <w:ind w:left="3000" w:hanging="180"/>
        </w:pPr>
      </w:lvl>
    </w:lvlOverride>
    <w:lvlOverride w:ilvl="6">
      <w:startOverride w:val="1"/>
      <w:lvl w:ilvl="6" w:tplc="81B8DBE2">
        <w:start w:val="1"/>
        <w:numFmt w:val="decimal"/>
        <w:lvlText w:val="%7."/>
        <w:lvlJc w:val="right"/>
        <w:pPr>
          <w:ind w:left="3500" w:hanging="180"/>
        </w:pPr>
      </w:lvl>
    </w:lvlOverride>
    <w:lvlOverride w:ilvl="7">
      <w:startOverride w:val="1"/>
      <w:lvl w:ilvl="7" w:tplc="19A8A270">
        <w:start w:val="1"/>
        <w:numFmt w:val="decimal"/>
        <w:lvlText w:val="%8."/>
        <w:lvlJc w:val="right"/>
        <w:pPr>
          <w:ind w:left="4000" w:hanging="180"/>
        </w:pPr>
      </w:lvl>
    </w:lvlOverride>
    <w:lvlOverride w:ilvl="8">
      <w:startOverride w:val="1"/>
      <w:lvl w:ilvl="8" w:tplc="2EBEAB4A">
        <w:start w:val="1"/>
        <w:numFmt w:val="decimal"/>
        <w:lvlText w:val="%9."/>
        <w:lvlJc w:val="right"/>
        <w:pPr>
          <w:ind w:left="4500" w:hanging="180"/>
        </w:pPr>
      </w:lvl>
    </w:lvlOverride>
  </w:num>
  <w:num w:numId="2" w16cid:durableId="1556042693">
    <w:abstractNumId w:val="5"/>
    <w:lvlOverride w:ilvl="0">
      <w:startOverride w:val="1"/>
      <w:lvl w:ilvl="0" w:tplc="1A3CF2A8">
        <w:start w:val="1"/>
        <w:numFmt w:val="bullet"/>
        <w:lvlText w:val=""/>
        <w:lvlJc w:val="right"/>
        <w:pPr>
          <w:ind w:left="500" w:hanging="180"/>
        </w:pPr>
        <w:rPr>
          <w:rFonts w:ascii="Symbol" w:hAnsi="Symbol" w:hint="default"/>
        </w:rPr>
      </w:lvl>
    </w:lvlOverride>
    <w:lvlOverride w:ilvl="1">
      <w:startOverride w:val="1"/>
      <w:lvl w:ilvl="1" w:tplc="D1DA18F6">
        <w:start w:val="1"/>
        <w:numFmt w:val="decimal"/>
        <w:lvlText w:val="%2."/>
        <w:lvlJc w:val="right"/>
        <w:pPr>
          <w:ind w:left="1000" w:hanging="180"/>
        </w:pPr>
      </w:lvl>
    </w:lvlOverride>
    <w:lvlOverride w:ilvl="2">
      <w:startOverride w:val="1"/>
      <w:lvl w:ilvl="2" w:tplc="F97A5298">
        <w:start w:val="1"/>
        <w:numFmt w:val="decimal"/>
        <w:lvlText w:val="%3."/>
        <w:lvlJc w:val="right"/>
        <w:pPr>
          <w:ind w:left="1500" w:hanging="180"/>
        </w:pPr>
      </w:lvl>
    </w:lvlOverride>
    <w:lvlOverride w:ilvl="3">
      <w:startOverride w:val="1"/>
      <w:lvl w:ilvl="3" w:tplc="FDD2E8DE">
        <w:start w:val="1"/>
        <w:numFmt w:val="decimal"/>
        <w:lvlText w:val="%4."/>
        <w:lvlJc w:val="right"/>
        <w:pPr>
          <w:ind w:left="2000" w:hanging="180"/>
        </w:pPr>
      </w:lvl>
    </w:lvlOverride>
    <w:lvlOverride w:ilvl="4">
      <w:startOverride w:val="1"/>
      <w:lvl w:ilvl="4" w:tplc="34CCD3E0">
        <w:start w:val="1"/>
        <w:numFmt w:val="decimal"/>
        <w:lvlText w:val="%5."/>
        <w:lvlJc w:val="right"/>
        <w:pPr>
          <w:ind w:left="2500" w:hanging="180"/>
        </w:pPr>
      </w:lvl>
    </w:lvlOverride>
    <w:lvlOverride w:ilvl="5">
      <w:startOverride w:val="1"/>
      <w:lvl w:ilvl="5" w:tplc="EC60C090">
        <w:start w:val="1"/>
        <w:numFmt w:val="decimal"/>
        <w:lvlText w:val="%6."/>
        <w:lvlJc w:val="right"/>
        <w:pPr>
          <w:ind w:left="3000" w:hanging="180"/>
        </w:pPr>
      </w:lvl>
    </w:lvlOverride>
    <w:lvlOverride w:ilvl="6">
      <w:startOverride w:val="1"/>
      <w:lvl w:ilvl="6" w:tplc="CFB04590">
        <w:start w:val="1"/>
        <w:numFmt w:val="decimal"/>
        <w:lvlText w:val="%7."/>
        <w:lvlJc w:val="right"/>
        <w:pPr>
          <w:ind w:left="3500" w:hanging="180"/>
        </w:pPr>
      </w:lvl>
    </w:lvlOverride>
    <w:lvlOverride w:ilvl="7">
      <w:startOverride w:val="1"/>
      <w:lvl w:ilvl="7" w:tplc="347E1650">
        <w:start w:val="1"/>
        <w:numFmt w:val="decimal"/>
        <w:lvlText w:val="%8."/>
        <w:lvlJc w:val="right"/>
        <w:pPr>
          <w:ind w:left="4000" w:hanging="180"/>
        </w:pPr>
      </w:lvl>
    </w:lvlOverride>
    <w:lvlOverride w:ilvl="8">
      <w:startOverride w:val="1"/>
      <w:lvl w:ilvl="8" w:tplc="685CFF5E">
        <w:start w:val="1"/>
        <w:numFmt w:val="decimal"/>
        <w:lvlText w:val="%9."/>
        <w:lvlJc w:val="right"/>
        <w:pPr>
          <w:ind w:left="4500" w:hanging="180"/>
        </w:pPr>
      </w:lvl>
    </w:lvlOverride>
  </w:num>
  <w:num w:numId="3" w16cid:durableId="1460800391">
    <w:abstractNumId w:val="2"/>
    <w:lvlOverride w:ilvl="0">
      <w:startOverride w:val="1"/>
      <w:lvl w:ilvl="0" w:tplc="EC681470">
        <w:start w:val="1"/>
        <w:numFmt w:val="bullet"/>
        <w:lvlText w:val=""/>
        <w:lvlJc w:val="right"/>
        <w:pPr>
          <w:ind w:left="500" w:hanging="180"/>
        </w:pPr>
        <w:rPr>
          <w:rFonts w:ascii="Symbol" w:hAnsi="Symbol" w:hint="default"/>
        </w:rPr>
      </w:lvl>
    </w:lvlOverride>
    <w:lvlOverride w:ilvl="1">
      <w:startOverride w:val="1"/>
      <w:lvl w:ilvl="1" w:tplc="60FC0D9E">
        <w:start w:val="1"/>
        <w:numFmt w:val="decimal"/>
        <w:lvlText w:val="%2."/>
        <w:lvlJc w:val="right"/>
        <w:pPr>
          <w:ind w:left="1000" w:hanging="180"/>
        </w:pPr>
      </w:lvl>
    </w:lvlOverride>
    <w:lvlOverride w:ilvl="2">
      <w:startOverride w:val="1"/>
      <w:lvl w:ilvl="2" w:tplc="C0B2F75A">
        <w:start w:val="1"/>
        <w:numFmt w:val="decimal"/>
        <w:lvlText w:val="%3."/>
        <w:lvlJc w:val="right"/>
        <w:pPr>
          <w:ind w:left="1500" w:hanging="180"/>
        </w:pPr>
      </w:lvl>
    </w:lvlOverride>
    <w:lvlOverride w:ilvl="3">
      <w:startOverride w:val="1"/>
      <w:lvl w:ilvl="3" w:tplc="01600E46">
        <w:start w:val="1"/>
        <w:numFmt w:val="decimal"/>
        <w:lvlText w:val="%4."/>
        <w:lvlJc w:val="right"/>
        <w:pPr>
          <w:ind w:left="2000" w:hanging="180"/>
        </w:pPr>
      </w:lvl>
    </w:lvlOverride>
    <w:lvlOverride w:ilvl="4">
      <w:startOverride w:val="1"/>
      <w:lvl w:ilvl="4" w:tplc="F1088622">
        <w:start w:val="1"/>
        <w:numFmt w:val="decimal"/>
        <w:lvlText w:val="%5."/>
        <w:lvlJc w:val="right"/>
        <w:pPr>
          <w:ind w:left="2500" w:hanging="180"/>
        </w:pPr>
      </w:lvl>
    </w:lvlOverride>
    <w:lvlOverride w:ilvl="5">
      <w:startOverride w:val="1"/>
      <w:lvl w:ilvl="5" w:tplc="687CE64C">
        <w:start w:val="1"/>
        <w:numFmt w:val="decimal"/>
        <w:lvlText w:val="%6."/>
        <w:lvlJc w:val="right"/>
        <w:pPr>
          <w:ind w:left="3000" w:hanging="180"/>
        </w:pPr>
      </w:lvl>
    </w:lvlOverride>
    <w:lvlOverride w:ilvl="6">
      <w:startOverride w:val="1"/>
      <w:lvl w:ilvl="6" w:tplc="9558C0DE">
        <w:start w:val="1"/>
        <w:numFmt w:val="decimal"/>
        <w:lvlText w:val="%7."/>
        <w:lvlJc w:val="right"/>
        <w:pPr>
          <w:ind w:left="3500" w:hanging="180"/>
        </w:pPr>
      </w:lvl>
    </w:lvlOverride>
    <w:lvlOverride w:ilvl="7">
      <w:startOverride w:val="1"/>
      <w:lvl w:ilvl="7" w:tplc="8160CB2E">
        <w:start w:val="1"/>
        <w:numFmt w:val="decimal"/>
        <w:lvlText w:val="%8."/>
        <w:lvlJc w:val="right"/>
        <w:pPr>
          <w:ind w:left="4000" w:hanging="180"/>
        </w:pPr>
      </w:lvl>
    </w:lvlOverride>
    <w:lvlOverride w:ilvl="8">
      <w:startOverride w:val="1"/>
      <w:lvl w:ilvl="8" w:tplc="3F5865C0">
        <w:start w:val="1"/>
        <w:numFmt w:val="decimal"/>
        <w:lvlText w:val="%9."/>
        <w:lvlJc w:val="right"/>
        <w:pPr>
          <w:ind w:left="4500" w:hanging="180"/>
        </w:pPr>
      </w:lvl>
    </w:lvlOverride>
  </w:num>
  <w:num w:numId="4" w16cid:durableId="170796254">
    <w:abstractNumId w:val="4"/>
    <w:lvlOverride w:ilvl="0">
      <w:startOverride w:val="1"/>
      <w:lvl w:ilvl="0" w:tplc="2AD49546">
        <w:start w:val="1"/>
        <w:numFmt w:val="bullet"/>
        <w:lvlText w:val=""/>
        <w:lvlJc w:val="right"/>
        <w:pPr>
          <w:ind w:left="500" w:hanging="180"/>
        </w:pPr>
        <w:rPr>
          <w:rFonts w:ascii="Symbol" w:hAnsi="Symbol" w:hint="default"/>
        </w:rPr>
      </w:lvl>
    </w:lvlOverride>
    <w:lvlOverride w:ilvl="1">
      <w:startOverride w:val="1"/>
      <w:lvl w:ilvl="1" w:tplc="36F01962">
        <w:start w:val="1"/>
        <w:numFmt w:val="decimal"/>
        <w:lvlText w:val="%2."/>
        <w:lvlJc w:val="right"/>
        <w:pPr>
          <w:ind w:left="1000" w:hanging="180"/>
        </w:pPr>
      </w:lvl>
    </w:lvlOverride>
    <w:lvlOverride w:ilvl="2">
      <w:startOverride w:val="1"/>
      <w:lvl w:ilvl="2" w:tplc="28468B32">
        <w:start w:val="1"/>
        <w:numFmt w:val="decimal"/>
        <w:lvlText w:val="%3."/>
        <w:lvlJc w:val="right"/>
        <w:pPr>
          <w:ind w:left="1500" w:hanging="180"/>
        </w:pPr>
      </w:lvl>
    </w:lvlOverride>
    <w:lvlOverride w:ilvl="3">
      <w:startOverride w:val="1"/>
      <w:lvl w:ilvl="3" w:tplc="907A0B2A">
        <w:start w:val="1"/>
        <w:numFmt w:val="decimal"/>
        <w:lvlText w:val="%4."/>
        <w:lvlJc w:val="right"/>
        <w:pPr>
          <w:ind w:left="2000" w:hanging="180"/>
        </w:pPr>
      </w:lvl>
    </w:lvlOverride>
    <w:lvlOverride w:ilvl="4">
      <w:startOverride w:val="1"/>
      <w:lvl w:ilvl="4" w:tplc="952A17D4">
        <w:start w:val="1"/>
        <w:numFmt w:val="decimal"/>
        <w:lvlText w:val="%5."/>
        <w:lvlJc w:val="right"/>
        <w:pPr>
          <w:ind w:left="2500" w:hanging="180"/>
        </w:pPr>
      </w:lvl>
    </w:lvlOverride>
    <w:lvlOverride w:ilvl="5">
      <w:startOverride w:val="1"/>
      <w:lvl w:ilvl="5" w:tplc="6AD02378">
        <w:start w:val="1"/>
        <w:numFmt w:val="decimal"/>
        <w:lvlText w:val="%6."/>
        <w:lvlJc w:val="right"/>
        <w:pPr>
          <w:ind w:left="3000" w:hanging="180"/>
        </w:pPr>
      </w:lvl>
    </w:lvlOverride>
    <w:lvlOverride w:ilvl="6">
      <w:startOverride w:val="1"/>
      <w:lvl w:ilvl="6" w:tplc="06B0D604">
        <w:start w:val="1"/>
        <w:numFmt w:val="decimal"/>
        <w:lvlText w:val="%7."/>
        <w:lvlJc w:val="right"/>
        <w:pPr>
          <w:ind w:left="3500" w:hanging="180"/>
        </w:pPr>
      </w:lvl>
    </w:lvlOverride>
    <w:lvlOverride w:ilvl="7">
      <w:startOverride w:val="1"/>
      <w:lvl w:ilvl="7" w:tplc="EC7A976A">
        <w:start w:val="1"/>
        <w:numFmt w:val="decimal"/>
        <w:lvlText w:val="%8."/>
        <w:lvlJc w:val="right"/>
        <w:pPr>
          <w:ind w:left="4000" w:hanging="180"/>
        </w:pPr>
      </w:lvl>
    </w:lvlOverride>
    <w:lvlOverride w:ilvl="8">
      <w:startOverride w:val="1"/>
      <w:lvl w:ilvl="8" w:tplc="6ABA03F0">
        <w:start w:val="1"/>
        <w:numFmt w:val="decimal"/>
        <w:lvlText w:val="%9."/>
        <w:lvlJc w:val="right"/>
        <w:pPr>
          <w:ind w:left="4500" w:hanging="180"/>
        </w:pPr>
      </w:lvl>
    </w:lvlOverride>
  </w:num>
  <w:num w:numId="5" w16cid:durableId="481701029">
    <w:abstractNumId w:val="0"/>
    <w:lvlOverride w:ilvl="0">
      <w:startOverride w:val="1"/>
      <w:lvl w:ilvl="0" w:tplc="833E879A">
        <w:start w:val="1"/>
        <w:numFmt w:val="bullet"/>
        <w:lvlText w:val=""/>
        <w:lvlJc w:val="right"/>
        <w:pPr>
          <w:ind w:left="500" w:hanging="180"/>
        </w:pPr>
        <w:rPr>
          <w:rFonts w:ascii="Symbol" w:hAnsi="Symbol" w:hint="default"/>
        </w:rPr>
      </w:lvl>
    </w:lvlOverride>
    <w:lvlOverride w:ilvl="1">
      <w:startOverride w:val="1"/>
      <w:lvl w:ilvl="1" w:tplc="96581A02">
        <w:start w:val="1"/>
        <w:numFmt w:val="decimal"/>
        <w:lvlText w:val="%2."/>
        <w:lvlJc w:val="right"/>
        <w:pPr>
          <w:ind w:left="1000" w:hanging="180"/>
        </w:pPr>
      </w:lvl>
    </w:lvlOverride>
    <w:lvlOverride w:ilvl="2">
      <w:startOverride w:val="1"/>
      <w:lvl w:ilvl="2" w:tplc="13F29232">
        <w:start w:val="1"/>
        <w:numFmt w:val="decimal"/>
        <w:lvlText w:val="%3."/>
        <w:lvlJc w:val="right"/>
        <w:pPr>
          <w:ind w:left="1500" w:hanging="180"/>
        </w:pPr>
      </w:lvl>
    </w:lvlOverride>
    <w:lvlOverride w:ilvl="3">
      <w:startOverride w:val="1"/>
      <w:lvl w:ilvl="3" w:tplc="30BC040E">
        <w:start w:val="1"/>
        <w:numFmt w:val="decimal"/>
        <w:lvlText w:val="%4."/>
        <w:lvlJc w:val="right"/>
        <w:pPr>
          <w:ind w:left="2000" w:hanging="180"/>
        </w:pPr>
      </w:lvl>
    </w:lvlOverride>
    <w:lvlOverride w:ilvl="4">
      <w:startOverride w:val="1"/>
      <w:lvl w:ilvl="4" w:tplc="F03E30F8">
        <w:start w:val="1"/>
        <w:numFmt w:val="decimal"/>
        <w:lvlText w:val="%5."/>
        <w:lvlJc w:val="right"/>
        <w:pPr>
          <w:ind w:left="2500" w:hanging="180"/>
        </w:pPr>
      </w:lvl>
    </w:lvlOverride>
    <w:lvlOverride w:ilvl="5">
      <w:startOverride w:val="1"/>
      <w:lvl w:ilvl="5" w:tplc="1FA680DC">
        <w:start w:val="1"/>
        <w:numFmt w:val="decimal"/>
        <w:lvlText w:val="%6."/>
        <w:lvlJc w:val="right"/>
        <w:pPr>
          <w:ind w:left="3000" w:hanging="180"/>
        </w:pPr>
      </w:lvl>
    </w:lvlOverride>
    <w:lvlOverride w:ilvl="6">
      <w:startOverride w:val="1"/>
      <w:lvl w:ilvl="6" w:tplc="EF74B728">
        <w:start w:val="1"/>
        <w:numFmt w:val="decimal"/>
        <w:lvlText w:val="%7."/>
        <w:lvlJc w:val="right"/>
        <w:pPr>
          <w:ind w:left="3500" w:hanging="180"/>
        </w:pPr>
      </w:lvl>
    </w:lvlOverride>
    <w:lvlOverride w:ilvl="7">
      <w:startOverride w:val="1"/>
      <w:lvl w:ilvl="7" w:tplc="F812691C">
        <w:start w:val="1"/>
        <w:numFmt w:val="decimal"/>
        <w:lvlText w:val="%8."/>
        <w:lvlJc w:val="right"/>
        <w:pPr>
          <w:ind w:left="4000" w:hanging="180"/>
        </w:pPr>
      </w:lvl>
    </w:lvlOverride>
    <w:lvlOverride w:ilvl="8">
      <w:startOverride w:val="1"/>
      <w:lvl w:ilvl="8" w:tplc="CD421C60">
        <w:start w:val="1"/>
        <w:numFmt w:val="decimal"/>
        <w:lvlText w:val="%9."/>
        <w:lvlJc w:val="right"/>
        <w:pPr>
          <w:ind w:left="4500" w:hanging="180"/>
        </w:pPr>
      </w:lvl>
    </w:lvlOverride>
  </w:num>
  <w:num w:numId="6" w16cid:durableId="1195655671">
    <w:abstractNumId w:val="1"/>
    <w:lvlOverride w:ilvl="0">
      <w:startOverride w:val="1"/>
      <w:lvl w:ilvl="0" w:tplc="AE4E95F8">
        <w:start w:val="1"/>
        <w:numFmt w:val="bullet"/>
        <w:lvlText w:val=""/>
        <w:lvlJc w:val="right"/>
        <w:pPr>
          <w:ind w:left="500" w:hanging="180"/>
        </w:pPr>
        <w:rPr>
          <w:rFonts w:ascii="Symbol" w:hAnsi="Symbol" w:hint="default"/>
        </w:rPr>
      </w:lvl>
    </w:lvlOverride>
    <w:lvlOverride w:ilvl="1">
      <w:startOverride w:val="1"/>
      <w:lvl w:ilvl="1" w:tplc="E3D4F372">
        <w:start w:val="1"/>
        <w:numFmt w:val="decimal"/>
        <w:lvlText w:val="%2."/>
        <w:lvlJc w:val="right"/>
        <w:pPr>
          <w:ind w:left="1000" w:hanging="180"/>
        </w:pPr>
      </w:lvl>
    </w:lvlOverride>
    <w:lvlOverride w:ilvl="2">
      <w:startOverride w:val="1"/>
      <w:lvl w:ilvl="2" w:tplc="E0327CF0">
        <w:start w:val="1"/>
        <w:numFmt w:val="decimal"/>
        <w:lvlText w:val="%3."/>
        <w:lvlJc w:val="right"/>
        <w:pPr>
          <w:ind w:left="1500" w:hanging="180"/>
        </w:pPr>
      </w:lvl>
    </w:lvlOverride>
    <w:lvlOverride w:ilvl="3">
      <w:startOverride w:val="1"/>
      <w:lvl w:ilvl="3" w:tplc="945AAAEA">
        <w:start w:val="1"/>
        <w:numFmt w:val="decimal"/>
        <w:lvlText w:val="%4."/>
        <w:lvlJc w:val="right"/>
        <w:pPr>
          <w:ind w:left="2000" w:hanging="180"/>
        </w:pPr>
      </w:lvl>
    </w:lvlOverride>
    <w:lvlOverride w:ilvl="4">
      <w:startOverride w:val="1"/>
      <w:lvl w:ilvl="4" w:tplc="41CECC9A">
        <w:start w:val="1"/>
        <w:numFmt w:val="decimal"/>
        <w:lvlText w:val="%5."/>
        <w:lvlJc w:val="right"/>
        <w:pPr>
          <w:ind w:left="2500" w:hanging="180"/>
        </w:pPr>
      </w:lvl>
    </w:lvlOverride>
    <w:lvlOverride w:ilvl="5">
      <w:startOverride w:val="1"/>
      <w:lvl w:ilvl="5" w:tplc="E99A71F4">
        <w:start w:val="1"/>
        <w:numFmt w:val="decimal"/>
        <w:lvlText w:val="%6."/>
        <w:lvlJc w:val="right"/>
        <w:pPr>
          <w:ind w:left="3000" w:hanging="180"/>
        </w:pPr>
      </w:lvl>
    </w:lvlOverride>
    <w:lvlOverride w:ilvl="6">
      <w:startOverride w:val="1"/>
      <w:lvl w:ilvl="6" w:tplc="044C29FE">
        <w:start w:val="1"/>
        <w:numFmt w:val="decimal"/>
        <w:lvlText w:val="%7."/>
        <w:lvlJc w:val="right"/>
        <w:pPr>
          <w:ind w:left="3500" w:hanging="180"/>
        </w:pPr>
      </w:lvl>
    </w:lvlOverride>
    <w:lvlOverride w:ilvl="7">
      <w:startOverride w:val="1"/>
      <w:lvl w:ilvl="7" w:tplc="4B44EC2C">
        <w:start w:val="1"/>
        <w:numFmt w:val="decimal"/>
        <w:lvlText w:val="%8."/>
        <w:lvlJc w:val="right"/>
        <w:pPr>
          <w:ind w:left="4000" w:hanging="180"/>
        </w:pPr>
      </w:lvl>
    </w:lvlOverride>
    <w:lvlOverride w:ilvl="8">
      <w:startOverride w:val="1"/>
      <w:lvl w:ilvl="8" w:tplc="18889224">
        <w:start w:val="1"/>
        <w:numFmt w:val="decimal"/>
        <w:lvlText w:val="%9."/>
        <w:lvlJc w:val="right"/>
        <w:pPr>
          <w:ind w:left="450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C8"/>
    <w:rsid w:val="001A7117"/>
    <w:rsid w:val="003A4BC6"/>
    <w:rsid w:val="005A7E79"/>
    <w:rsid w:val="00674E71"/>
    <w:rsid w:val="00681EB5"/>
    <w:rsid w:val="006955C8"/>
    <w:rsid w:val="00CB0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884A"/>
  <w15:chartTrackingRefBased/>
  <w15:docId w15:val="{8F96FE3F-621B-4669-9A44-99E6E7B3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D23"/>
    <w:pPr>
      <w:spacing w:after="200" w:line="276" w:lineRule="auto"/>
      <w:jc w:val="both"/>
    </w:pPr>
    <w:rPr>
      <w:rFonts w:ascii="Times New Roman" w:eastAsiaTheme="minorEastAsia" w:hAnsi="Times New Roman"/>
      <w:kern w:val="0"/>
      <w:szCs w:val="22"/>
      <w:lang w:val="en-GB" w:eastAsia="en-GB"/>
      <w14:ligatures w14:val="none"/>
    </w:rPr>
  </w:style>
  <w:style w:type="paragraph" w:styleId="Heading1">
    <w:name w:val="heading 1"/>
    <w:basedOn w:val="Normal"/>
    <w:next w:val="Normal"/>
    <w:link w:val="Heading1Char"/>
    <w:uiPriority w:val="9"/>
    <w:qFormat/>
    <w:rsid w:val="00695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5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5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5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5C8"/>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semiHidden/>
    <w:rsid w:val="006955C8"/>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6955C8"/>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6955C8"/>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6955C8"/>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6955C8"/>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6955C8"/>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6955C8"/>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6955C8"/>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695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5C8"/>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695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5C8"/>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6955C8"/>
    <w:pPr>
      <w:spacing w:before="160"/>
      <w:jc w:val="center"/>
    </w:pPr>
    <w:rPr>
      <w:i/>
      <w:iCs/>
      <w:color w:val="404040" w:themeColor="text1" w:themeTint="BF"/>
    </w:rPr>
  </w:style>
  <w:style w:type="character" w:customStyle="1" w:styleId="QuoteChar">
    <w:name w:val="Quote Char"/>
    <w:basedOn w:val="DefaultParagraphFont"/>
    <w:link w:val="Quote"/>
    <w:uiPriority w:val="29"/>
    <w:rsid w:val="006955C8"/>
    <w:rPr>
      <w:i/>
      <w:iCs/>
      <w:color w:val="404040" w:themeColor="text1" w:themeTint="BF"/>
      <w:lang w:val="en-CA"/>
    </w:rPr>
  </w:style>
  <w:style w:type="paragraph" w:styleId="ListParagraph">
    <w:name w:val="List Paragraph"/>
    <w:basedOn w:val="Normal"/>
    <w:link w:val="ListParagraphChar"/>
    <w:uiPriority w:val="34"/>
    <w:qFormat/>
    <w:rsid w:val="006955C8"/>
    <w:pPr>
      <w:ind w:left="720"/>
      <w:contextualSpacing/>
    </w:pPr>
  </w:style>
  <w:style w:type="character" w:styleId="IntenseEmphasis">
    <w:name w:val="Intense Emphasis"/>
    <w:basedOn w:val="DefaultParagraphFont"/>
    <w:uiPriority w:val="21"/>
    <w:qFormat/>
    <w:rsid w:val="006955C8"/>
    <w:rPr>
      <w:i/>
      <w:iCs/>
      <w:color w:val="0F4761" w:themeColor="accent1" w:themeShade="BF"/>
    </w:rPr>
  </w:style>
  <w:style w:type="paragraph" w:styleId="IntenseQuote">
    <w:name w:val="Intense Quote"/>
    <w:basedOn w:val="Normal"/>
    <w:next w:val="Normal"/>
    <w:link w:val="IntenseQuoteChar"/>
    <w:uiPriority w:val="30"/>
    <w:qFormat/>
    <w:rsid w:val="00695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5C8"/>
    <w:rPr>
      <w:i/>
      <w:iCs/>
      <w:color w:val="0F4761" w:themeColor="accent1" w:themeShade="BF"/>
      <w:lang w:val="en-CA"/>
    </w:rPr>
  </w:style>
  <w:style w:type="character" w:styleId="IntenseReference">
    <w:name w:val="Intense Reference"/>
    <w:basedOn w:val="DefaultParagraphFont"/>
    <w:uiPriority w:val="32"/>
    <w:qFormat/>
    <w:rsid w:val="006955C8"/>
    <w:rPr>
      <w:b/>
      <w:bCs/>
      <w:smallCaps/>
      <w:color w:val="0F4761" w:themeColor="accent1" w:themeShade="BF"/>
      <w:spacing w:val="5"/>
    </w:rPr>
  </w:style>
  <w:style w:type="paragraph" w:customStyle="1" w:styleId="HeadingThree">
    <w:name w:val="HeadingThree"/>
    <w:basedOn w:val="Heading3"/>
    <w:next w:val="Normal"/>
    <w:link w:val="HeadingThreeChar"/>
    <w:qFormat/>
    <w:rsid w:val="00CB0D23"/>
    <w:pPr>
      <w:spacing w:before="240" w:after="240"/>
    </w:pPr>
    <w:rPr>
      <w:rFonts w:cs="Times New Roman"/>
      <w:b/>
      <w:bCs/>
      <w:color w:val="0070C0"/>
    </w:rPr>
  </w:style>
  <w:style w:type="character" w:customStyle="1" w:styleId="HeadingThreeChar">
    <w:name w:val="HeadingThree Char"/>
    <w:basedOn w:val="Heading3Char"/>
    <w:link w:val="HeadingThree"/>
    <w:rsid w:val="00CB0D23"/>
    <w:rPr>
      <w:rFonts w:ascii="Times New Roman" w:eastAsiaTheme="majorEastAsia" w:hAnsi="Times New Roman" w:cs="Times New Roman"/>
      <w:b/>
      <w:bCs/>
      <w:color w:val="0070C0"/>
      <w:kern w:val="0"/>
      <w:sz w:val="28"/>
      <w:szCs w:val="28"/>
      <w:lang w:val="en-GB" w:eastAsia="en-GB"/>
      <w14:ligatures w14:val="none"/>
    </w:rPr>
  </w:style>
  <w:style w:type="character" w:customStyle="1" w:styleId="ListParagraphChar">
    <w:name w:val="List Paragraph Char"/>
    <w:basedOn w:val="DefaultParagraphFont"/>
    <w:link w:val="ListParagraph"/>
    <w:uiPriority w:val="34"/>
    <w:rsid w:val="00CB0D23"/>
    <w:rPr>
      <w:lang w:val="en-CA"/>
    </w:rPr>
  </w:style>
  <w:style w:type="paragraph" w:customStyle="1" w:styleId="CellTextValue">
    <w:name w:val="CellTextValue"/>
    <w:basedOn w:val="Normal"/>
    <w:link w:val="CellTextValueChar"/>
    <w:qFormat/>
    <w:rsid w:val="00CB0D23"/>
    <w:pPr>
      <w:spacing w:after="80"/>
    </w:pPr>
    <w:rPr>
      <w:rFonts w:cs="Times New Roman"/>
      <w:szCs w:val="24"/>
    </w:rPr>
  </w:style>
  <w:style w:type="character" w:customStyle="1" w:styleId="CellTextValueChar">
    <w:name w:val="CellTextValue Char"/>
    <w:basedOn w:val="DefaultParagraphFont"/>
    <w:link w:val="CellTextValue"/>
    <w:rsid w:val="00CB0D23"/>
    <w:rPr>
      <w:rFonts w:ascii="Times New Roman" w:eastAsiaTheme="minorEastAsia" w:hAnsi="Times New Roman" w:cs="Times New Roman"/>
      <w:kern w:val="0"/>
      <w:lang w:val="en-GB" w:eastAsia="en-GB"/>
      <w14:ligatures w14:val="none"/>
    </w:rPr>
  </w:style>
  <w:style w:type="paragraph" w:customStyle="1" w:styleId="footnote1">
    <w:name w:val="footnote1"/>
    <w:basedOn w:val="Normal"/>
    <w:qFormat/>
    <w:rsid w:val="00CB0D23"/>
    <w:pPr>
      <w:spacing w:after="0" w:line="240" w:lineRule="auto"/>
      <w:ind w:left="720" w:hanging="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funding-tenders/opportunities/docs/2021-2027/horizon/guidance/ls-decision_he_en.pdf" TargetMode="External"/><Relationship Id="rId13" Type="http://schemas.openxmlformats.org/officeDocument/2006/relationships/hyperlink" Target="https://ec.europa.eu/info/funding-tenders/opportunities/docs/2021-2027/horizon/guidance/ls-decision_he_en.pdf" TargetMode="External"/><Relationship Id="rId18" Type="http://schemas.openxmlformats.org/officeDocument/2006/relationships/hyperlink" Target="https://op.europa.eu/en/publication-detail/-/publication/72f1cb35-cee7-11ee-b9d9-01aa75ed71a1" TargetMode="External"/><Relationship Id="rId3" Type="http://schemas.openxmlformats.org/officeDocument/2006/relationships/hyperlink" Target="https://gcos.wmo.int/site/global-climate-observing-system-gcos/essential-climate-variables/" TargetMode="External"/><Relationship Id="rId7" Type="http://schemas.openxmlformats.org/officeDocument/2006/relationships/hyperlink" Target="https://ec.europa.eu/info/funding-tenders/opportunities/docs/2021-2027/horizon/guidance/ls-decision_he_en.pdf" TargetMode="External"/><Relationship Id="rId12" Type="http://schemas.openxmlformats.org/officeDocument/2006/relationships/hyperlink" Target="https://datahelpdesk.worldbank.org/knowledgebase/articles/906519-world-bank-country-and-lendinggroups" TargetMode="External"/><Relationship Id="rId17" Type="http://schemas.openxmlformats.org/officeDocument/2006/relationships/hyperlink" Target="https://ec.europa.eu/info/funding-tenders/opportunities/docs/2021-2027/horizon/guidance/ls-decision_he_en.pdf" TargetMode="External"/><Relationship Id="rId2" Type="http://schemas.openxmlformats.org/officeDocument/2006/relationships/hyperlink" Target="https://ec.europa.eu/info/funding-tenders/opportunities/docs/2021-2027/horizon/guidance/ls-decision_he_en.pdf" TargetMode="External"/><Relationship Id="rId16" Type="http://schemas.openxmlformats.org/officeDocument/2006/relationships/hyperlink" Target="https://ec.europa.eu/info/funding-tenders/opportunities/docs/2021-2027/horizon/guidance/ls-decision_he_en.pdf" TargetMode="External"/><Relationship Id="rId20" Type="http://schemas.openxmlformats.org/officeDocument/2006/relationships/hyperlink" Target="https://gcos.wmo.int/site/global-climate-observing-system-gcos" TargetMode="External"/><Relationship Id="rId1" Type="http://schemas.openxmlformats.org/officeDocument/2006/relationships/hyperlink" Target="https://ec.europa.eu/info/funding-tenders/opportunities/docs/2021-2027/horizon/guidance/ls-decision_he_en.pdf" TargetMode="External"/><Relationship Id="rId6" Type="http://schemas.openxmlformats.org/officeDocument/2006/relationships/hyperlink" Target="https://www.iamconsortium.org/" TargetMode="External"/><Relationship Id="rId11" Type="http://schemas.openxmlformats.org/officeDocument/2006/relationships/hyperlink" Target="https://www.iriscc.eu/" TargetMode="External"/><Relationship Id="rId5" Type="http://schemas.openxmlformats.org/officeDocument/2006/relationships/hyperlink" Target="https://gcos.wmo.int/site/global-climate-observing-system-gcos" TargetMode="External"/><Relationship Id="rId15" Type="http://schemas.openxmlformats.org/officeDocument/2006/relationships/hyperlink" Target="https://civil-protection-knowledge-network.europa.eu/disaster-prevention-and-risk-management/economics-disaster-prevention-and-preparedness" TargetMode="External"/><Relationship Id="rId10" Type="http://schemas.openxmlformats.org/officeDocument/2006/relationships/hyperlink" Target="https://commission.europa.eu/document/download/5bb2881f-9e29-42f2-8b77-8739b19d047c_en?filename=2024_Niinisto-report_Book_VF.pdf" TargetMode="External"/><Relationship Id="rId19" Type="http://schemas.openxmlformats.org/officeDocument/2006/relationships/hyperlink" Target="https://www.wcrp-climate.org/" TargetMode="External"/><Relationship Id="rId4" Type="http://schemas.openxmlformats.org/officeDocument/2006/relationships/hyperlink" Target="https://www.wcrp-climate.org/" TargetMode="External"/><Relationship Id="rId9" Type="http://schemas.openxmlformats.org/officeDocument/2006/relationships/hyperlink" Target="https://www.eea.europa.eu/en/analysis/publications/european-climate-risk-assessment" TargetMode="External"/><Relationship Id="rId14" Type="http://schemas.openxmlformats.org/officeDocument/2006/relationships/hyperlink" Target="https://ec.europa.eu/info/funding-tenders/opportunities/docs/2021-2027/horizon/guidance/ls-decision_h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3548</Words>
  <Characters>21862</Characters>
  <Application>Microsoft Office Word</Application>
  <DocSecurity>0</DocSecurity>
  <Lines>465</Lines>
  <Paragraphs>203</Paragraphs>
  <ScaleCrop>false</ScaleCrop>
  <Company>University of Manitoba</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Jaspreet Mand</dc:creator>
  <cp:keywords/>
  <dc:description/>
  <cp:lastModifiedBy>Jaspreet Mand</cp:lastModifiedBy>
  <cp:revision>4</cp:revision>
  <dcterms:created xsi:type="dcterms:W3CDTF">2025-10-15T16:47:00Z</dcterms:created>
  <dcterms:modified xsi:type="dcterms:W3CDTF">2025-10-15T16:56:00Z</dcterms:modified>
</cp:coreProperties>
</file>